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A6309" w:rsidRDefault="00EA6309">
      <w:pPr>
        <w:spacing w:after="400" w:line="276" w:lineRule="auto"/>
      </w:pPr>
    </w:p>
    <w:p w:rsidR="00EA6309" w:rsidRDefault="00EA6309">
      <w:pPr>
        <w:spacing w:after="400" w:line="276" w:lineRule="auto"/>
      </w:pPr>
    </w:p>
    <w:p w:rsidR="00EA6309" w:rsidRDefault="00000000">
      <w:pPr>
        <w:spacing w:after="120" w:line="360" w:lineRule="auto"/>
        <w:jc w:val="center"/>
        <w:rPr>
          <w:sz w:val="24"/>
          <w:szCs w:val="24"/>
        </w:rPr>
      </w:pPr>
      <w:r>
        <w:rPr>
          <w:b/>
          <w:bCs/>
          <w:sz w:val="48"/>
          <w:szCs w:val="48"/>
        </w:rPr>
        <w:t>ESTUDO TÉCNICO</w:t>
      </w:r>
      <w:r>
        <w:rPr>
          <w:sz w:val="24"/>
          <w:szCs w:val="24"/>
        </w:rPr>
        <w:t xml:space="preserve"> </w:t>
      </w:r>
      <w:r>
        <w:rPr>
          <w:b/>
          <w:bCs/>
          <w:sz w:val="48"/>
          <w:szCs w:val="48"/>
        </w:rPr>
        <w:t>PRELIMINAR</w:t>
      </w:r>
    </w:p>
    <w:p w:rsidR="00EA6309" w:rsidRDefault="00000000">
      <w:pPr>
        <w:spacing w:after="120" w:line="360" w:lineRule="auto"/>
        <w:jc w:val="center"/>
        <w:rPr>
          <w:b/>
          <w:bCs/>
          <w:sz w:val="48"/>
          <w:szCs w:val="48"/>
        </w:rPr>
      </w:pPr>
      <w:r>
        <w:rPr>
          <w:b/>
          <w:bCs/>
          <w:sz w:val="48"/>
          <w:szCs w:val="48"/>
        </w:rPr>
        <w:t>TRANSPORTE ESCOLAR</w:t>
      </w:r>
    </w:p>
    <w:p w:rsidR="00EA6309" w:rsidRDefault="00000000">
      <w:pPr>
        <w:spacing w:after="120" w:line="360" w:lineRule="auto"/>
        <w:jc w:val="center"/>
        <w:rPr>
          <w:b/>
          <w:bCs/>
          <w:sz w:val="48"/>
          <w:szCs w:val="48"/>
        </w:rPr>
      </w:pPr>
      <w:r>
        <w:rPr>
          <w:b/>
          <w:bCs/>
          <w:sz w:val="48"/>
          <w:szCs w:val="48"/>
        </w:rPr>
        <w:t>2026</w:t>
      </w:r>
    </w:p>
    <w:p w:rsidR="00EA6309" w:rsidRDefault="00000000">
      <w:pPr>
        <w:spacing w:after="160" w:line="324" w:lineRule="auto"/>
        <w:jc w:val="center"/>
        <w:rPr>
          <w:sz w:val="24"/>
          <w:szCs w:val="24"/>
        </w:rPr>
      </w:pPr>
      <w:r>
        <w:rPr>
          <w:sz w:val="24"/>
          <w:szCs w:val="24"/>
        </w:rPr>
        <w:t>Processo Administrativo nº 22.387/2026</w:t>
      </w:r>
    </w:p>
    <w:p w:rsidR="00EA6309" w:rsidRDefault="00EA6309">
      <w:pPr>
        <w:spacing w:after="160" w:line="324" w:lineRule="auto"/>
        <w:rPr>
          <w:sz w:val="24"/>
          <w:szCs w:val="24"/>
        </w:rPr>
      </w:pPr>
    </w:p>
    <w:p w:rsidR="00EA6309" w:rsidRDefault="00EA6309">
      <w:pPr>
        <w:spacing w:after="160" w:line="324" w:lineRule="auto"/>
        <w:rPr>
          <w:sz w:val="24"/>
          <w:szCs w:val="24"/>
        </w:rPr>
      </w:pPr>
    </w:p>
    <w:tbl>
      <w:tblPr>
        <w:tblStyle w:val="a"/>
        <w:tblW w:w="907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800"/>
        <w:gridCol w:w="6271"/>
      </w:tblGrid>
      <w:tr w:rsidR="00EA6309">
        <w:tc>
          <w:tcPr>
            <w:tcW w:w="9071" w:type="dxa"/>
            <w:gridSpan w:val="2"/>
            <w:tcBorders>
              <w:top w:val="single" w:sz="6" w:space="0" w:color="000000"/>
              <w:left w:val="single" w:sz="6" w:space="0" w:color="000000"/>
              <w:bottom w:val="single" w:sz="6" w:space="0" w:color="000000"/>
              <w:right w:val="single" w:sz="6" w:space="0" w:color="000000"/>
            </w:tcBorders>
            <w:shd w:val="clear" w:color="auto" w:fill="D9EAF7"/>
            <w:tcMar>
              <w:top w:w="120" w:type="dxa"/>
              <w:left w:w="200" w:type="dxa"/>
              <w:bottom w:w="120" w:type="dxa"/>
              <w:right w:w="200" w:type="dxa"/>
            </w:tcMar>
          </w:tcPr>
          <w:p w:rsidR="00EA6309" w:rsidRDefault="00000000">
            <w:pPr>
              <w:jc w:val="center"/>
              <w:rPr>
                <w:shd w:val="clear" w:color="auto" w:fill="D9EAF7"/>
              </w:rPr>
            </w:pPr>
            <w:r>
              <w:rPr>
                <w:b/>
                <w:bCs/>
                <w:shd w:val="clear" w:color="auto" w:fill="D9EAF7"/>
              </w:rPr>
              <w:t>IDENTIFICAÇÃO DO PROCESSO</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Número do Processo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22.387/2026</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Modalidade / Critério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Pregão Eletrônico / Menor Preço por Lote</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Órgão Demandante</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Secretaria Municipal de Educação — Prefeitura Municipal de Ribeirão Grande/SP</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Responsável pelo ETP</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Coordenadoria de Compras e Licitações</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Memorando de Origem</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Memorando Interno nº 22.387/2026, de 26/05/2026 (Lucélia Aparecida de Oliveira, Coordenadora de Trânsito e Transporte)</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Objeto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Contratação de empresa(s) especializada(s) na prestação de serviços de transporte escolar para o ano letivo de 2026, em 14 lotes, abrangendo 43 rotas no Município de Ribeirão Grande/SP</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Número de Lotes</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14 lotes</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Número de Rotas</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43 rotas</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Total de Km/dia estimado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1217 km/dia</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Valor Global Estimado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R$ 2.332.200,00 (para 200 dias letivos)</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Vigência Estimada</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Ano letivo de 2026 (200 dias letivos)</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Local de Execução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Zona rural e urbana do Município de Ribeirão Grande/SP</w:t>
            </w:r>
          </w:p>
        </w:tc>
      </w:tr>
      <w:tr w:rsidR="00EA6309">
        <w:tc>
          <w:tcPr>
            <w:tcW w:w="2800" w:type="dxa"/>
            <w:tcBorders>
              <w:top w:val="single" w:sz="6" w:space="0" w:color="000000"/>
              <w:left w:val="single" w:sz="6" w:space="0" w:color="000000"/>
              <w:bottom w:val="single" w:sz="6" w:space="0" w:color="000000"/>
              <w:right w:val="single" w:sz="6" w:space="0" w:color="000000"/>
            </w:tcBorders>
            <w:shd w:val="clear" w:color="auto" w:fill="D6E4F0"/>
            <w:tcMar>
              <w:top w:w="70" w:type="dxa"/>
              <w:left w:w="110" w:type="dxa"/>
              <w:bottom w:w="70" w:type="dxa"/>
              <w:right w:w="110" w:type="dxa"/>
            </w:tcMar>
            <w:vAlign w:val="center"/>
          </w:tcPr>
          <w:p w:rsidR="00EA6309" w:rsidRDefault="00000000">
            <w:r>
              <w:rPr>
                <w:b/>
                <w:bCs/>
                <w:sz w:val="20"/>
                <w:szCs w:val="20"/>
              </w:rPr>
              <w:t>Fiscal do Contrato (indicado)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tcMar>
              <w:top w:w="70" w:type="dxa"/>
              <w:left w:w="110" w:type="dxa"/>
              <w:bottom w:w="70" w:type="dxa"/>
              <w:right w:w="110" w:type="dxa"/>
            </w:tcMar>
            <w:vAlign w:val="center"/>
          </w:tcPr>
          <w:p w:rsidR="00EA6309" w:rsidRDefault="00000000">
            <w:r>
              <w:rPr>
                <w:sz w:val="20"/>
                <w:szCs w:val="20"/>
              </w:rPr>
              <w:t>Lucélia Aparecida de Oliveira — Coordenadora de Trânsito e Transporte (matrícula nº 340)</w:t>
            </w:r>
          </w:p>
        </w:tc>
      </w:tr>
    </w:tbl>
    <w:p w:rsidR="00EA6309" w:rsidRDefault="00EA6309">
      <w:pPr>
        <w:spacing w:after="120" w:line="276" w:lineRule="auto"/>
        <w:jc w:val="both"/>
      </w:pPr>
    </w:p>
    <w:p w:rsidR="00EA6309" w:rsidRDefault="00000000">
      <w:pPr>
        <w:pStyle w:val="Ttulo1"/>
        <w:rPr>
          <w:color w:val="000000"/>
        </w:rPr>
      </w:pPr>
      <w:r>
        <w:rPr>
          <w:color w:val="000000"/>
        </w:rPr>
        <w:lastRenderedPageBreak/>
        <w:t>1. INTRODUÇÃO E FUNDAMENTAÇÃO LEGAL</w:t>
      </w:r>
    </w:p>
    <w:p w:rsidR="00EA6309" w:rsidRDefault="00000000">
      <w:pPr>
        <w:spacing w:after="120" w:line="276" w:lineRule="auto"/>
        <w:jc w:val="both"/>
      </w:pPr>
      <w:r>
        <w:rPr>
          <w:color w:val="000000"/>
        </w:rPr>
        <w:t>O presente Estudo Técnico Preliminar — ETP foi elaborado em atendimento ao disposto no art. 18 da Lei Federal nº 14.133, de 1º de abril de 2021, que estabelece a obrigatoriedade desse documento como instrumento de planejamento das contratações públicas, devendo evidenciar o problema a ser resolvido, as soluções disponíveis, a estimativa de quantidades e preços, os requisitos de habilitação, a análise de riscos e a viabilidade técnica e econômica da contratação pretendida.</w:t>
      </w:r>
    </w:p>
    <w:p w:rsidR="00EA6309" w:rsidRDefault="00000000">
      <w:pPr>
        <w:spacing w:after="120" w:line="276" w:lineRule="auto"/>
        <w:jc w:val="both"/>
      </w:pPr>
      <w:r>
        <w:rPr>
          <w:color w:val="000000"/>
        </w:rPr>
        <w:t>A presente contratação tem origem no Memorando Interno nº 22.387/2026, de 26 de maio de 2026, subscrito por Lucélia Aparecida de Oliveira, Coordenadora de Trânsito e Transporte, encaminhando a planilha de rotas para licitação de transporte escolar relativa ao ano letivo de 2026.</w:t>
      </w:r>
    </w:p>
    <w:p w:rsidR="00EA6309" w:rsidRDefault="00000000">
      <w:pPr>
        <w:spacing w:after="120" w:line="276" w:lineRule="auto"/>
        <w:jc w:val="both"/>
      </w:pPr>
      <w:r>
        <w:rPr>
          <w:color w:val="000000"/>
        </w:rPr>
        <w:t>A fundamentação legal desta contratação repousa nos seguintes dispositivos normativos:</w:t>
      </w:r>
    </w:p>
    <w:p w:rsidR="00EA6309" w:rsidRDefault="00000000">
      <w:pPr>
        <w:numPr>
          <w:ilvl w:val="0"/>
          <w:numId w:val="1"/>
        </w:numPr>
        <w:pBdr>
          <w:top w:val="nil"/>
          <w:left w:val="nil"/>
          <w:bottom w:val="nil"/>
          <w:right w:val="nil"/>
          <w:between w:val="nil"/>
        </w:pBdr>
        <w:spacing w:after="80" w:line="276" w:lineRule="auto"/>
        <w:jc w:val="both"/>
      </w:pPr>
      <w:r>
        <w:rPr>
          <w:color w:val="000000"/>
        </w:rPr>
        <w:t>Constituição Federal de 1988, art. 208, inciso VII — impõe ao Estado o dever de assegurar atendimento ao educando, em todas as etapas da educação básica, por meio de programas suplementares de transporte escolar;</w:t>
      </w:r>
    </w:p>
    <w:p w:rsidR="00EA6309" w:rsidRDefault="00000000">
      <w:pPr>
        <w:numPr>
          <w:ilvl w:val="0"/>
          <w:numId w:val="1"/>
        </w:numPr>
        <w:pBdr>
          <w:top w:val="nil"/>
          <w:left w:val="nil"/>
          <w:bottom w:val="nil"/>
          <w:right w:val="nil"/>
          <w:between w:val="nil"/>
        </w:pBdr>
        <w:spacing w:after="80" w:line="276" w:lineRule="auto"/>
        <w:jc w:val="both"/>
      </w:pPr>
      <w:r>
        <w:rPr>
          <w:color w:val="000000"/>
        </w:rPr>
        <w:t>Lei Federal nº 9.394/1996 (LDB), art. 4º, inciso VIII — reafirma o direito ao transporte escolar como obrigação do Poder Público para com os alunos da rede pública de ensino;</w:t>
      </w:r>
    </w:p>
    <w:p w:rsidR="00EA6309" w:rsidRDefault="00000000">
      <w:pPr>
        <w:numPr>
          <w:ilvl w:val="0"/>
          <w:numId w:val="1"/>
        </w:numPr>
        <w:pBdr>
          <w:top w:val="nil"/>
          <w:left w:val="nil"/>
          <w:bottom w:val="nil"/>
          <w:right w:val="nil"/>
          <w:between w:val="nil"/>
        </w:pBdr>
        <w:spacing w:after="80" w:line="276" w:lineRule="auto"/>
        <w:jc w:val="both"/>
      </w:pPr>
      <w:r>
        <w:rPr>
          <w:color w:val="000000"/>
        </w:rPr>
        <w:t>Lei Federal nº 10.880/2004 — institui o Programa Nacional de Apoio ao Transporte do Escolar (PNATE), com repasse de recursos federais para a manutenção do transporte escolar de alunos da educação básica pública;</w:t>
      </w:r>
    </w:p>
    <w:p w:rsidR="00EA6309" w:rsidRDefault="00000000">
      <w:pPr>
        <w:numPr>
          <w:ilvl w:val="0"/>
          <w:numId w:val="1"/>
        </w:numPr>
        <w:pBdr>
          <w:top w:val="nil"/>
          <w:left w:val="nil"/>
          <w:bottom w:val="nil"/>
          <w:right w:val="nil"/>
          <w:between w:val="nil"/>
        </w:pBdr>
        <w:spacing w:after="80" w:line="276" w:lineRule="auto"/>
        <w:jc w:val="both"/>
      </w:pPr>
      <w:r>
        <w:rPr>
          <w:color w:val="000000"/>
        </w:rPr>
        <w:t>Lei Federal nº 14.133/2021 — Nova Lei de Licitações e Contratos Administrativos, especialmente os arts. 5º, 11, 17, 18, 23, 28, 29, 30, 40, 67, 117, 140 e 169;</w:t>
      </w:r>
    </w:p>
    <w:p w:rsidR="00EA6309" w:rsidRDefault="00000000">
      <w:pPr>
        <w:numPr>
          <w:ilvl w:val="0"/>
          <w:numId w:val="1"/>
        </w:numPr>
        <w:pBdr>
          <w:top w:val="nil"/>
          <w:left w:val="nil"/>
          <w:bottom w:val="nil"/>
          <w:right w:val="nil"/>
          <w:between w:val="nil"/>
        </w:pBdr>
        <w:spacing w:after="80" w:line="276" w:lineRule="auto"/>
        <w:jc w:val="both"/>
      </w:pPr>
      <w:r>
        <w:rPr>
          <w:color w:val="000000"/>
        </w:rPr>
        <w:t>Lei Complementar nº 123/2006 — Estatuto Nacional da Microempresa e da Empresa de Pequeno Porte, arts. 44 e 45, aplicável ao certame para assegurar tratamento diferenciado às MPEs;</w:t>
      </w:r>
    </w:p>
    <w:p w:rsidR="00EA6309" w:rsidRDefault="00000000">
      <w:pPr>
        <w:numPr>
          <w:ilvl w:val="0"/>
          <w:numId w:val="1"/>
        </w:numPr>
        <w:pBdr>
          <w:top w:val="nil"/>
          <w:left w:val="nil"/>
          <w:bottom w:val="nil"/>
          <w:right w:val="nil"/>
          <w:between w:val="nil"/>
        </w:pBdr>
        <w:spacing w:after="80" w:line="276" w:lineRule="auto"/>
        <w:jc w:val="both"/>
      </w:pPr>
      <w:r>
        <w:rPr>
          <w:color w:val="000000"/>
        </w:rPr>
        <w:t>Lei Federal nº 9.503/1997 (CTB — Código de Trânsito Brasileiro), especialmente arts. 136 a 138, que regulamentam o transporte escolar;</w:t>
      </w:r>
    </w:p>
    <w:p w:rsidR="00EA6309" w:rsidRDefault="00000000">
      <w:pPr>
        <w:numPr>
          <w:ilvl w:val="0"/>
          <w:numId w:val="1"/>
        </w:numPr>
        <w:pBdr>
          <w:top w:val="nil"/>
          <w:left w:val="nil"/>
          <w:bottom w:val="nil"/>
          <w:right w:val="nil"/>
          <w:between w:val="nil"/>
        </w:pBdr>
        <w:spacing w:after="80" w:line="276" w:lineRule="auto"/>
        <w:jc w:val="both"/>
      </w:pPr>
      <w:r>
        <w:rPr>
          <w:color w:val="000000"/>
        </w:rPr>
        <w:t>Portaria DETRAN/SP nº 1.310, de 01/08/2014 — disciplina a autorização para transporte escolar no Estado de São Paulo;</w:t>
      </w:r>
    </w:p>
    <w:p w:rsidR="00EA6309" w:rsidRDefault="00000000">
      <w:pPr>
        <w:numPr>
          <w:ilvl w:val="0"/>
          <w:numId w:val="1"/>
        </w:numPr>
        <w:pBdr>
          <w:top w:val="nil"/>
          <w:left w:val="nil"/>
          <w:bottom w:val="nil"/>
          <w:right w:val="nil"/>
          <w:between w:val="nil"/>
        </w:pBdr>
        <w:spacing w:after="80" w:line="276" w:lineRule="auto"/>
        <w:jc w:val="both"/>
      </w:pPr>
      <w:r>
        <w:rPr>
          <w:color w:val="000000"/>
        </w:rPr>
        <w:t>Portaria DETRAN/SP nº 1.153/2002 — dispõe sobre a autorização para transporte de escolares para os veículos utilizados;</w:t>
      </w:r>
    </w:p>
    <w:p w:rsidR="00EA6309" w:rsidRDefault="00000000">
      <w:pPr>
        <w:numPr>
          <w:ilvl w:val="0"/>
          <w:numId w:val="1"/>
        </w:numPr>
        <w:pBdr>
          <w:top w:val="nil"/>
          <w:left w:val="nil"/>
          <w:bottom w:val="nil"/>
          <w:right w:val="nil"/>
          <w:between w:val="nil"/>
        </w:pBdr>
        <w:spacing w:after="80" w:line="276" w:lineRule="auto"/>
        <w:jc w:val="both"/>
      </w:pPr>
      <w:r>
        <w:rPr>
          <w:color w:val="000000"/>
        </w:rPr>
        <w:t>Resolução SE nº 28, de 12/05/2011 — estabelece os requisitos para monitores de transporte escolar na rede estadual de São Paulo;</w:t>
      </w:r>
    </w:p>
    <w:p w:rsidR="00EA6309" w:rsidRDefault="00000000">
      <w:pPr>
        <w:numPr>
          <w:ilvl w:val="0"/>
          <w:numId w:val="1"/>
        </w:numPr>
        <w:pBdr>
          <w:top w:val="nil"/>
          <w:left w:val="nil"/>
          <w:bottom w:val="nil"/>
          <w:right w:val="nil"/>
          <w:between w:val="nil"/>
        </w:pBdr>
        <w:spacing w:after="80" w:line="276" w:lineRule="auto"/>
        <w:jc w:val="both"/>
      </w:pPr>
      <w:r>
        <w:rPr>
          <w:color w:val="000000"/>
        </w:rPr>
        <w:t>Orientações do Tribunal de Contas do Estado de São Paulo relativas ao planejamento e instrução dos processos de contratação pública.</w:t>
      </w:r>
    </w:p>
    <w:p w:rsidR="00EA6309" w:rsidRDefault="00EA6309">
      <w:pPr>
        <w:spacing w:after="120" w:line="276" w:lineRule="auto"/>
        <w:jc w:val="both"/>
      </w:pPr>
    </w:p>
    <w:p w:rsidR="00EA6309" w:rsidRDefault="00000000">
      <w:pPr>
        <w:spacing w:after="120" w:line="276" w:lineRule="auto"/>
        <w:jc w:val="both"/>
      </w:pPr>
      <w:r>
        <w:rPr>
          <w:color w:val="000000"/>
        </w:rPr>
        <w:t xml:space="preserve">O presente ETP atende integralmente ao elenco de elementos previstos no art. 18 da Lei nº 14.133/2021, incluindo: descrição da necessidade (inciso I), estimativa de quantidades e preços (incisos IV e VI), levantamento de mercado (inciso V), parcelamento do objeto em lotes </w:t>
      </w:r>
      <w:r>
        <w:rPr>
          <w:color w:val="000000"/>
        </w:rPr>
        <w:lastRenderedPageBreak/>
        <w:t>(inciso VIII), análise de riscos (art. 11, VI c/c art. 169) e posicionamento conclusivo sobre a viabilidade da contratação (inciso XIII).</w:t>
      </w:r>
    </w:p>
    <w:p w:rsidR="00EA6309" w:rsidRDefault="00000000">
      <w:pPr>
        <w:pStyle w:val="Ttulo1"/>
        <w:rPr>
          <w:color w:val="000000"/>
        </w:rPr>
      </w:pPr>
      <w:r>
        <w:rPr>
          <w:color w:val="000000"/>
        </w:rPr>
        <w:t>2. DIAGNÓSTICO SITUACIONAL E DESCRIÇÃO DA NECESSIDADE</w:t>
      </w:r>
    </w:p>
    <w:p w:rsidR="00EA6309" w:rsidRDefault="00000000">
      <w:pPr>
        <w:spacing w:after="120" w:line="276" w:lineRule="auto"/>
        <w:jc w:val="both"/>
      </w:pPr>
      <w:r>
        <w:rPr>
          <w:color w:val="000000"/>
        </w:rPr>
        <w:t>O Município de Ribeirão Grande/SP possui uma rede de ensino público composta por unidades de educação infantil, ensino fundamental e ensino médio, distribuídas tanto na zona urbana quanto, predominantemente, em comunidades rurais e de difícil acesso. A topografia acidentada e a dispersão geográfica da população escolar rural tornam o transporte público escolar indispensável para garantir o acesso à educação nos termos constitucionais.</w:t>
      </w:r>
    </w:p>
    <w:p w:rsidR="00EA6309" w:rsidRDefault="00000000">
      <w:pPr>
        <w:spacing w:after="120" w:line="276" w:lineRule="auto"/>
        <w:jc w:val="both"/>
      </w:pPr>
      <w:r>
        <w:rPr>
          <w:color w:val="000000"/>
        </w:rPr>
        <w:t>O diagnóstico situacional que fundamenta a presente contratação é objetivo: o Município necessita de transporte escolar regular para atender aproximadamente 592 alunos distribuídos em 43 rotas, abrangendo bairros rurais como Mato Dentro, Sítio Velho, Machados, Rodrigues, Taquarianos, Cândidos, Barro Branco, Maciel, Conchas, Queiroz, Passagem e Barra, entre outros, com destinos em escolas da rede municipal, estadual e na APAE.</w:t>
      </w:r>
    </w:p>
    <w:p w:rsidR="00EA6309" w:rsidRDefault="00000000">
      <w:pPr>
        <w:spacing w:after="120" w:line="276" w:lineRule="auto"/>
        <w:jc w:val="both"/>
      </w:pPr>
      <w:r>
        <w:rPr>
          <w:color w:val="000000"/>
        </w:rPr>
        <w:t>A não realização desta contratação implicaria: (i) negação do direito constitucional ao transporte escolar a centenas de alunos, com risco imediato de evasão escolar; (ii) responsabilização do Município por omissão na prestação de serviço público essencial; e (iii) descumprimento das obrigações assumidas perante o Governo Federal no âmbito do PNATE.</w:t>
      </w:r>
    </w:p>
    <w:p w:rsidR="00EA6309" w:rsidRDefault="00000000">
      <w:pPr>
        <w:spacing w:after="120" w:line="276" w:lineRule="auto"/>
        <w:jc w:val="both"/>
      </w:pPr>
      <w:r>
        <w:rPr>
          <w:color w:val="000000"/>
        </w:rPr>
        <w:t>A Administração Municipal não dispõe de frota própria suficiente e adequada para cobrir a totalidade das rotas com os veículos exigidos — incluindo veículos de 4 lugares com tração 4x4 para localidades de acesso restrito como Barro Branco e Passagem —, tampouco de recursos humanos (motoristas habilitados na categoria D com credencial DETRAN) para executar o serviço com a qualidade e segurança exigidas. A contratação de empresa especializada é, portanto, a única solução tecnicamente viável.</w:t>
      </w:r>
    </w:p>
    <w:p w:rsidR="00EA6309" w:rsidRDefault="00000000">
      <w:pPr>
        <w:pStyle w:val="Ttulo1"/>
        <w:rPr>
          <w:color w:val="000000"/>
        </w:rPr>
      </w:pPr>
      <w:r>
        <w:rPr>
          <w:color w:val="000000"/>
        </w:rPr>
        <w:t>3. DESCRIÇÃO DO OBJETO</w:t>
      </w:r>
    </w:p>
    <w:p w:rsidR="00EA6309" w:rsidRDefault="00000000">
      <w:pPr>
        <w:spacing w:after="120" w:line="276" w:lineRule="auto"/>
        <w:jc w:val="both"/>
      </w:pPr>
      <w:r>
        <w:rPr>
          <w:color w:val="000000"/>
        </w:rPr>
        <w:t>O objeto da presente contratação é a prestação de serviços de transporte escolar, por empresa(s) especializada(s), para o ano letivo de 2026, compreendendo a execução de 43 rotas organizadas em 14 lotes, no Município de Ribeirão Grande/SP.</w:t>
      </w:r>
    </w:p>
    <w:p w:rsidR="00EA6309" w:rsidRDefault="00000000">
      <w:pPr>
        <w:spacing w:after="120" w:line="276" w:lineRule="auto"/>
        <w:jc w:val="both"/>
      </w:pPr>
      <w:r>
        <w:rPr>
          <w:color w:val="000000"/>
        </w:rPr>
        <w:t>A contratação engloba o fornecimento de veículos em perfeito estado de conservação, condutores habilitados na categoria D com credencial DETRAN, monitores nos percursos exigidos, seguro de responsabilidade civil e toda a documentação legal exigida pelo Código de Trânsito Brasileiro e pela legislação estadual aplicável.</w:t>
      </w:r>
    </w:p>
    <w:p w:rsidR="00EA6309" w:rsidRDefault="00000000">
      <w:pPr>
        <w:pStyle w:val="Ttulo2"/>
        <w:rPr>
          <w:color w:val="000000"/>
        </w:rPr>
      </w:pPr>
      <w:r>
        <w:rPr>
          <w:color w:val="000000"/>
        </w:rPr>
        <w:t>3.1 Tabela de Rotas por Lote</w:t>
      </w:r>
    </w:p>
    <w:p w:rsidR="00EA6309" w:rsidRDefault="00000000">
      <w:pPr>
        <w:spacing w:after="120" w:line="276" w:lineRule="auto"/>
        <w:jc w:val="both"/>
      </w:pPr>
      <w:r>
        <w:rPr>
          <w:color w:val="000000"/>
        </w:rPr>
        <w:t>O quadro a seguir apresenta a descrição completa das 43 rotas distribuídas nos 14 lotes licitados:</w:t>
      </w:r>
    </w:p>
    <w:p w:rsidR="00EA6309" w:rsidRDefault="00EA6309">
      <w:pPr>
        <w:spacing w:after="120" w:line="276" w:lineRule="auto"/>
        <w:jc w:val="both"/>
      </w:pPr>
    </w:p>
    <w:tbl>
      <w:tblPr>
        <w:tblStyle w:val="a0"/>
        <w:tblW w:w="10020"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0"/>
        <w:gridCol w:w="2340"/>
        <w:gridCol w:w="1110"/>
        <w:gridCol w:w="735"/>
        <w:gridCol w:w="1395"/>
        <w:gridCol w:w="1050"/>
        <w:gridCol w:w="870"/>
        <w:gridCol w:w="1005"/>
        <w:gridCol w:w="1005"/>
      </w:tblGrid>
      <w:tr w:rsidR="00EA6309">
        <w:trPr>
          <w:tblHeader/>
        </w:trPr>
        <w:tc>
          <w:tcPr>
            <w:tcW w:w="51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Nº</w:t>
            </w:r>
          </w:p>
        </w:tc>
        <w:tc>
          <w:tcPr>
            <w:tcW w:w="234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Bairros / Percurso</w:t>
            </w:r>
          </w:p>
        </w:tc>
        <w:tc>
          <w:tcPr>
            <w:tcW w:w="111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Destino</w:t>
            </w:r>
          </w:p>
        </w:tc>
        <w:tc>
          <w:tcPr>
            <w:tcW w:w="735"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KM</w:t>
            </w:r>
          </w:p>
        </w:tc>
        <w:tc>
          <w:tcPr>
            <w:tcW w:w="1395"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Série/Nível</w:t>
            </w:r>
          </w:p>
        </w:tc>
        <w:tc>
          <w:tcPr>
            <w:tcW w:w="105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Período</w:t>
            </w:r>
          </w:p>
        </w:tc>
        <w:tc>
          <w:tcPr>
            <w:tcW w:w="87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Alunos</w:t>
            </w:r>
          </w:p>
        </w:tc>
        <w:tc>
          <w:tcPr>
            <w:tcW w:w="1005"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Cap. Veíc.</w:t>
            </w:r>
          </w:p>
        </w:tc>
        <w:tc>
          <w:tcPr>
            <w:tcW w:w="1005"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Monitor</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 — 1 veículo de 16 lugares | Valor estimado: R$ 121.600,00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Mato Dentro, Estrada Sítio Velho, Quadra e Igreja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Primeiros Passos</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38</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Mato Dentro, Estrada Sítio Velho, Quadra e Igreja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EMEI Primeiros Passos</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26</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2 — 2 veículos (16 e 37 lugares) | Valor estimado: R$ 204.600,00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Machados, Sítio Bom Jesus, Chácara Styllus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Ferreira dos Matos / EMEF Maria Francisca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 e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Mato Dentro, Sítio Velho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Ferreira dos Matos / EMEF Maria Francisca</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28</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 e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5</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Mato Dentro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Ferreira dos Matos</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14</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Itinerário</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6</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Mato Dentro, Sítio Velho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Ferreira dos Matos</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28</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3 — 2 veículos de 16 lugares | Valor estimado: R$ 114.000,00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7</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Machados, Tapera, Sítio Bom Jesus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Primeiros Passos</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8</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8</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Machados, Sítio Stylus, Quadra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Ferreira dos Matos</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9</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Mato Dentro, Ferreira dos Matos, Centro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APAE</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APAE</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4 — 3 veículos (16 e 22 lugares) | Valor estimado: R$ 256.100,00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10</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Rodrigues, Barroca Funda, Machados, Vila Olímpia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Gente Miúda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18</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11</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Rodrigues, Barroca Funda, Machados</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12</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Rodrigues, Faz. Diogo, Barroca Funda, Machados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13</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Cachoeirinha, Rodrigues, Faz. Diogo, Barroca Funda, Machados</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37</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14</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Cachoeirinha, Rodrigues, Faz. Diogo, Barroca Funda, Machados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37</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5 — 2 veículos de 16 lugares | Valor estimado: R$ 108.300,00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Taquarianos, Cap. Alta dos Limas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Laurindo Domingues de Queiroz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Cândidos, Capoeira Alta, Faz. Curiango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Laurindo Domingues de Queiroz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12</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17</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Cândidos, Haras 2 Irmãs, Cap. dos Limas</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Prof. Rubens de Lima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12</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Integral</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18</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Taquarianos, Capoeira Alta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Prof. Rubens de Lima</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17</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Integral</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6 — 2 veículos (16 e 22 lugares) | Valor estimado: R$ 317.000,00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19</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Taquarianos, Capoeira Alta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20</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Cândidos, Capoeira Alta, Faz. Curiango, Cruzes, Jurubatuba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35</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15</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21</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Taquarianos, Capoeira Alta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22</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Cândidos, Capoeira Alta, Campo dos Cruzes</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35</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7 — 1 veículo de 16 lugares | Valor estimado: R$ 110.200,00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23</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Cândidos, Caetanos, Jabaquara, Boa Vista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Boa Vista Intervales</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24</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Cândidos, Caetanos, Boa Vista, Intervales</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Boa Vista Intervales / Joaquim Ezequiel</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33</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 e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10</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8 — 2 veículos de 4 lugares (4x4/traçado) | Valor estimado: R$ 169.600,00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25</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Barro Branco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Gente Miúda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26</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Barro Branco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18</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27</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Barro Branco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28</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Barro Branco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18</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9 — 1 veículo de 16 lugares | Valor estimado: R$ 144.400,00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29</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Maciel, Anacletos, Anacletos II, Cristal</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38</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30</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Maciel, Anacletos, Anacletos II, Cristal</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38</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10 — 1 veículo de 4 lugares (4x4/traçado) | Valor estimado: R$ 264.000,00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31</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Bairro Passagem</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 / APAE</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55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 + APAE</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32</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Bairro Passagem</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55</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33</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Bairro Passagem</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55</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11 — 2 veículos (16 e 22 lugares) | Valor estimado: R$ 183.000,00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34</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Conchas, Lagoa, Lagoa de Cima,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Gente Miúda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Pré-Escola</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11</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35</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Conchas, Lagoa, Lagoa de Cima, Urucuva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30</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36</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Conchas, Lagoa, Lagoa de Cima, Urucuva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12 — 1 veículo de 16 lugares | Valor estimado: R$ 114.000,00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37</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Conchas, Lagoa, Lagoa de Cima e Urucuva</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38</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Conchas, Lagoa, Lagoa de Cima e Urucuva</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30</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Não</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13 — 1 veículo de 16 lugares | Valor estimado: R$ 76.000,00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39</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Queiroz,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40</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Queiroz,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EMEF Prof. Heros Alciati</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20</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Fund. I</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10020" w:type="dxa"/>
            <w:gridSpan w:val="9"/>
            <w:tcBorders>
              <w:top w:val="single" w:sz="4" w:space="0" w:color="BBBBBB"/>
              <w:left w:val="single" w:sz="4" w:space="0" w:color="BBBBBB"/>
              <w:bottom w:val="single" w:sz="4" w:space="0" w:color="BBBBBB"/>
              <w:right w:val="single" w:sz="4" w:space="0" w:color="BBBBBB"/>
            </w:tcBorders>
            <w:shd w:val="clear" w:color="auto" w:fill="2E75B6"/>
            <w:tcMar>
              <w:top w:w="70" w:type="dxa"/>
              <w:left w:w="110" w:type="dxa"/>
              <w:bottom w:w="70" w:type="dxa"/>
              <w:right w:w="110" w:type="dxa"/>
            </w:tcMar>
            <w:vAlign w:val="center"/>
          </w:tcPr>
          <w:p w:rsidR="00EA6309" w:rsidRDefault="00000000">
            <w:r>
              <w:rPr>
                <w:b/>
                <w:bCs/>
                <w:color w:val="FFFFFF"/>
                <w:sz w:val="20"/>
                <w:szCs w:val="20"/>
              </w:rPr>
              <w:t>LOTE 14 — 2 veículos (16 e 22 lugares) | Valor estimado: R$ 149.400,00</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41</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Barra, Queiroz,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22</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Fund. II</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20</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42</w:t>
            </w:r>
          </w:p>
        </w:tc>
        <w:tc>
          <w:tcPr>
            <w:tcW w:w="234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Barra, Queiroz,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73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26</w:t>
            </w:r>
          </w:p>
        </w:tc>
        <w:tc>
          <w:tcPr>
            <w:tcW w:w="139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Ens. Médio</w:t>
            </w:r>
          </w:p>
        </w:tc>
        <w:tc>
          <w:tcPr>
            <w:tcW w:w="105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Tarde</w:t>
            </w:r>
          </w:p>
        </w:tc>
        <w:tc>
          <w:tcPr>
            <w:tcW w:w="87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Sim</w:t>
            </w:r>
          </w:p>
        </w:tc>
      </w:tr>
      <w:tr w:rsidR="00EA6309">
        <w:tc>
          <w:tcPr>
            <w:tcW w:w="5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43</w:t>
            </w:r>
          </w:p>
        </w:tc>
        <w:tc>
          <w:tcPr>
            <w:tcW w:w="234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Barra, Queiroz, Soltinho</w:t>
            </w:r>
          </w:p>
        </w:tc>
        <w:tc>
          <w:tcPr>
            <w:tcW w:w="111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Gente Miúda</w:t>
            </w:r>
          </w:p>
        </w:tc>
        <w:tc>
          <w:tcPr>
            <w:tcW w:w="73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26</w:t>
            </w:r>
          </w:p>
        </w:tc>
        <w:tc>
          <w:tcPr>
            <w:tcW w:w="139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Ed. Infantil</w:t>
            </w:r>
          </w:p>
        </w:tc>
        <w:tc>
          <w:tcPr>
            <w:tcW w:w="105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Manhã</w:t>
            </w:r>
          </w:p>
        </w:tc>
        <w:tc>
          <w:tcPr>
            <w:tcW w:w="87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8</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sz w:val="20"/>
                <w:szCs w:val="20"/>
              </w:rPr>
              <w:t>16</w:t>
            </w:r>
          </w:p>
        </w:tc>
        <w:tc>
          <w:tcPr>
            <w:tcW w:w="1005"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Sim</w:t>
            </w:r>
          </w:p>
        </w:tc>
      </w:tr>
    </w:tbl>
    <w:p w:rsidR="00EA6309" w:rsidRDefault="00EA6309">
      <w:pPr>
        <w:spacing w:after="120" w:line="276" w:lineRule="auto"/>
        <w:jc w:val="both"/>
      </w:pPr>
    </w:p>
    <w:p w:rsidR="00EA6309" w:rsidRDefault="00000000">
      <w:pPr>
        <w:spacing w:after="120" w:line="276" w:lineRule="auto"/>
        <w:jc w:val="both"/>
      </w:pPr>
      <w:r>
        <w:rPr>
          <w:color w:val="000000"/>
        </w:rPr>
        <w:t xml:space="preserve">Notas: (i) </w:t>
      </w:r>
      <w:r>
        <w:t>Veículos</w:t>
      </w:r>
      <w:r>
        <w:rPr>
          <w:color w:val="000000"/>
        </w:rPr>
        <w:t xml:space="preserve"> </w:t>
      </w:r>
      <w:r>
        <w:t>traçados</w:t>
      </w:r>
      <w:r>
        <w:rPr>
          <w:color w:val="000000"/>
        </w:rPr>
        <w:t xml:space="preserve"> (4x4) sao obrigatorios para os Lotes 8 e 10, dado o acesso restrito ao Bairro Barro Branco e ao Bairro Passagem; (ii) Monitor </w:t>
      </w:r>
      <w:r>
        <w:t>é obrigatório</w:t>
      </w:r>
      <w:r>
        <w:rPr>
          <w:color w:val="000000"/>
        </w:rPr>
        <w:t xml:space="preserve"> nas rotas de educacao infantil (Pre-Escola) e APAE, conforme </w:t>
      </w:r>
      <w:r>
        <w:t>legislação</w:t>
      </w:r>
      <w:r>
        <w:rPr>
          <w:color w:val="000000"/>
        </w:rPr>
        <w:t xml:space="preserve"> vigente; (iii) As rotas com </w:t>
      </w:r>
      <w:r>
        <w:t>período</w:t>
      </w:r>
      <w:r>
        <w:rPr>
          <w:color w:val="000000"/>
        </w:rPr>
        <w:t xml:space="preserve"> </w:t>
      </w:r>
      <w:r>
        <w:t>Itinerário</w:t>
      </w:r>
      <w:r>
        <w:rPr>
          <w:color w:val="000000"/>
        </w:rPr>
        <w:t xml:space="preserve"> e Integral possuem </w:t>
      </w:r>
      <w:r>
        <w:t>horários</w:t>
      </w:r>
      <w:r>
        <w:rPr>
          <w:color w:val="000000"/>
        </w:rPr>
        <w:t xml:space="preserve"> </w:t>
      </w:r>
      <w:r>
        <w:t>específicos</w:t>
      </w:r>
      <w:r>
        <w:rPr>
          <w:color w:val="000000"/>
        </w:rPr>
        <w:t xml:space="preserve"> definidos pela Secretaria Municipal de Educacao.</w:t>
      </w:r>
    </w:p>
    <w:p w:rsidR="00EA6309" w:rsidRDefault="00000000">
      <w:pPr>
        <w:pStyle w:val="Ttulo1"/>
        <w:rPr>
          <w:color w:val="000000"/>
        </w:rPr>
      </w:pPr>
      <w:r>
        <w:rPr>
          <w:color w:val="000000"/>
        </w:rPr>
        <w:t>4. LEVANTAMENTO DE MERCADO E ESTIMATIVA DE VALOR</w:t>
      </w:r>
    </w:p>
    <w:p w:rsidR="00EA6309" w:rsidRDefault="00000000">
      <w:pPr>
        <w:spacing w:after="120" w:line="276" w:lineRule="auto"/>
        <w:jc w:val="both"/>
      </w:pPr>
      <w:r>
        <w:rPr>
          <w:color w:val="000000"/>
        </w:rPr>
        <w:t>A pesquisa de preços foi realizada em conformidade com o art. 23 da Lei nº 14.133/2021, observando a metodologia de pluralidade de fontes. Foram coletadas cotações junto a 3 (três) empresas do ramo de transporte escolar com atuação na região de Itapeva/Capão Bonito/Ribeirão Grande, com capacidade de atendimento nas condições técnicas especificadas. Adicionalmente, foram utilizados como parâmetro de referência os valores praticados em contratos similares firmados por municípios da Região do Vale do Ribeira, disponíveis no Portal de Transparência do TCE-SP e na base de dados do Diário Oficial do Estado.</w:t>
      </w:r>
    </w:p>
    <w:p w:rsidR="00EA6309" w:rsidRDefault="00000000">
      <w:pPr>
        <w:spacing w:after="120" w:line="276" w:lineRule="auto"/>
        <w:jc w:val="both"/>
      </w:pPr>
      <w:r>
        <w:rPr>
          <w:color w:val="000000"/>
        </w:rPr>
        <w:t>Os preços por quilômetro rodado, apurados por tipo de veículo, foram os seguintes:</w:t>
      </w:r>
    </w:p>
    <w:p w:rsidR="00EA6309" w:rsidRDefault="00EA6309">
      <w:pPr>
        <w:spacing w:after="120" w:line="276" w:lineRule="auto"/>
        <w:jc w:val="both"/>
      </w:pPr>
    </w:p>
    <w:tbl>
      <w:tblPr>
        <w:tblStyle w:val="a1"/>
        <w:tblW w:w="907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0"/>
        <w:gridCol w:w="1500"/>
        <w:gridCol w:w="1500"/>
        <w:gridCol w:w="1500"/>
        <w:gridCol w:w="2371"/>
      </w:tblGrid>
      <w:tr w:rsidR="00EA6309">
        <w:tc>
          <w:tcPr>
            <w:tcW w:w="22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Capacidade do Veículo</w:t>
            </w:r>
          </w:p>
        </w:tc>
        <w:tc>
          <w:tcPr>
            <w:tcW w:w="15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Km/dia</w:t>
            </w:r>
          </w:p>
        </w:tc>
        <w:tc>
          <w:tcPr>
            <w:tcW w:w="15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Preço/Km</w:t>
            </w:r>
          </w:p>
        </w:tc>
        <w:tc>
          <w:tcPr>
            <w:tcW w:w="15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Valor/dia</w:t>
            </w:r>
          </w:p>
        </w:tc>
        <w:tc>
          <w:tcPr>
            <w:tcW w:w="2371"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Valor (200 dias letivos)</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4 lugares (4x4/traçado)</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271 km/dia</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R$ 8,00/km</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R$ 2.168/dia</w:t>
            </w:r>
          </w:p>
        </w:tc>
        <w:tc>
          <w:tcPr>
            <w:tcW w:w="23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R$ 433.600,00</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16 lugares</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735 km/dia</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R$ 9,50/km</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R$ 6.982,5/dia</w:t>
            </w:r>
          </w:p>
        </w:tc>
        <w:tc>
          <w:tcPr>
            <w:tcW w:w="23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R$ 1.396.500,00</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22 lugares</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169 km/dia</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R$ 11,50/km</w:t>
            </w:r>
          </w:p>
        </w:tc>
        <w:tc>
          <w:tcPr>
            <w:tcW w:w="1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R$ 1.943,5/dia</w:t>
            </w:r>
          </w:p>
        </w:tc>
        <w:tc>
          <w:tcPr>
            <w:tcW w:w="23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R$ 388.700,00</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37 lugares</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42 km/dia</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R$ 13,50/km</w:t>
            </w:r>
          </w:p>
        </w:tc>
        <w:tc>
          <w:tcPr>
            <w:tcW w:w="1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R$ 567/dia</w:t>
            </w:r>
          </w:p>
        </w:tc>
        <w:tc>
          <w:tcPr>
            <w:tcW w:w="23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R$ 113.400,00</w:t>
            </w:r>
          </w:p>
        </w:tc>
      </w:tr>
      <w:tr w:rsidR="00EA6309">
        <w:tc>
          <w:tcPr>
            <w:tcW w:w="3700" w:type="dxa"/>
            <w:gridSpan w:val="2"/>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r>
              <w:rPr>
                <w:b/>
                <w:bCs/>
                <w:sz w:val="20"/>
                <w:szCs w:val="20"/>
              </w:rPr>
              <w:t>TOTAL GERAL</w:t>
            </w:r>
          </w:p>
        </w:tc>
        <w:tc>
          <w:tcPr>
            <w:tcW w:w="1500" w:type="dxa"/>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pPr>
              <w:jc w:val="center"/>
            </w:pPr>
            <w:r>
              <w:rPr>
                <w:sz w:val="20"/>
                <w:szCs w:val="20"/>
              </w:rPr>
              <w:t>—</w:t>
            </w:r>
          </w:p>
        </w:tc>
        <w:tc>
          <w:tcPr>
            <w:tcW w:w="1500" w:type="dxa"/>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pPr>
              <w:jc w:val="center"/>
            </w:pPr>
            <w:r>
              <w:rPr>
                <w:sz w:val="20"/>
                <w:szCs w:val="20"/>
              </w:rPr>
              <w:t>—</w:t>
            </w:r>
          </w:p>
        </w:tc>
        <w:tc>
          <w:tcPr>
            <w:tcW w:w="2371" w:type="dxa"/>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pPr>
              <w:jc w:val="right"/>
            </w:pPr>
            <w:r>
              <w:rPr>
                <w:b/>
                <w:bCs/>
                <w:sz w:val="20"/>
                <w:szCs w:val="20"/>
              </w:rPr>
              <w:t>R$ 2.332.200,00</w:t>
            </w:r>
          </w:p>
        </w:tc>
      </w:tr>
    </w:tbl>
    <w:p w:rsidR="00EA6309" w:rsidRDefault="00EA6309">
      <w:pPr>
        <w:spacing w:after="120" w:line="276" w:lineRule="auto"/>
        <w:jc w:val="both"/>
      </w:pPr>
    </w:p>
    <w:p w:rsidR="00EA6309" w:rsidRDefault="00000000">
      <w:pPr>
        <w:spacing w:after="120" w:line="276" w:lineRule="auto"/>
        <w:jc w:val="both"/>
      </w:pPr>
      <w:r>
        <w:rPr>
          <w:color w:val="000000"/>
        </w:rPr>
        <w:t>A metodologia adotada assegura: (i) representatividade, com múltiplas fontes de mercado regionais; (ii) ausência de sobrepreço, pois o valor estimado está em linha com os contratos similares da região; (iii) preservação da competitividade, já que o valor teto não é artificialmente restrito a ponto de afastar fornecedores aptos.</w:t>
      </w:r>
    </w:p>
    <w:p w:rsidR="00EA6309" w:rsidRDefault="00EA6309">
      <w:pPr>
        <w:spacing w:after="120" w:line="276" w:lineRule="auto"/>
        <w:jc w:val="both"/>
      </w:pPr>
    </w:p>
    <w:p w:rsidR="00EA6309" w:rsidRDefault="00000000">
      <w:pPr>
        <w:pStyle w:val="Ttulo2"/>
        <w:rPr>
          <w:color w:val="000000"/>
        </w:rPr>
      </w:pPr>
      <w:r>
        <w:rPr>
          <w:color w:val="000000"/>
        </w:rPr>
        <w:t>4.1 Resumo do Valor Estimado por Lote</w:t>
      </w:r>
    </w:p>
    <w:p w:rsidR="00EA6309" w:rsidRDefault="00EA6309">
      <w:pPr>
        <w:spacing w:after="120" w:line="276" w:lineRule="auto"/>
        <w:jc w:val="both"/>
      </w:pPr>
    </w:p>
    <w:tbl>
      <w:tblPr>
        <w:tblStyle w:val="a2"/>
        <w:tblW w:w="907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0"/>
        <w:gridCol w:w="4571"/>
        <w:gridCol w:w="1800"/>
        <w:gridCol w:w="2200"/>
      </w:tblGrid>
      <w:tr w:rsidR="00EA6309">
        <w:tc>
          <w:tcPr>
            <w:tcW w:w="5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Lote</w:t>
            </w:r>
          </w:p>
        </w:tc>
        <w:tc>
          <w:tcPr>
            <w:tcW w:w="4571"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Percurso Principal / Escolas Atendidas</w:t>
            </w:r>
          </w:p>
        </w:tc>
        <w:tc>
          <w:tcPr>
            <w:tcW w:w="18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Veículo(s)</w:t>
            </w:r>
          </w:p>
        </w:tc>
        <w:tc>
          <w:tcPr>
            <w:tcW w:w="22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Valor Estimado</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1</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Primeiros Passos</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1 veículo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R$ 121.600,00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2</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Ferreira dos Matos / EMEF Maria Francisca; E.E. Ferreira dos Matos</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2 veículos (16 e 37 lugares)</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R$ 204.600,00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3</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Primeiros Passos; E.E. Ferreira dos Matos; APAE</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2 veículos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R$ 114.000,00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4</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EMEI Gente Miúda; EMEF Prof. Heros Alciati; E.E. Oscar Kurtz</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3 veículos (16 e 22 lugares)</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R$ 256.100,00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5</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Laurindo Domingues de Queiroz; E.E. Prof. Rubens de Lima</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2 veículos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R$ 108.300,00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6</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2 veículos (16 e 22 lugares)</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R$ 317.000,00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7</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Boa Vista Intervales; E.E. Boa Vista Intervales / Joaquim Ezequiel</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1 veículo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R$ 110.200,00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8</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EMEI Gente Miúda; EMEF Prof. Heros Alciati; E.E. Oscar Kurtz</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2 veículos de 4 lugares (4x4/traçado)</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R$ 169.600,00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9</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E.E. Oscar Kurtz</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1 veículo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R$ 144.400,00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10</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 / APAE; E.E. Oscar Kurtz; EMEF Prof. Heros Alciati</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1 veículo de 4 lugares (4x4/traçado)</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R$ 264.000,00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11</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EMEI Gente Miúda; EMEF Prof. Heros Alciati</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2 veículos (16 e 22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R$ 183.000,00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12</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1 veículo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R$ 114.000,00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13</w:t>
            </w:r>
          </w:p>
        </w:tc>
        <w:tc>
          <w:tcPr>
            <w:tcW w:w="45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EMEF Prof. Heros Alciati</w:t>
            </w:r>
          </w:p>
        </w:tc>
        <w:tc>
          <w:tcPr>
            <w:tcW w:w="18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1 veículo de 16 lugares</w:t>
            </w:r>
          </w:p>
        </w:tc>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right"/>
            </w:pPr>
            <w:r>
              <w:rPr>
                <w:sz w:val="20"/>
                <w:szCs w:val="20"/>
              </w:rPr>
              <w:t>R$ 76.000,00</w:t>
            </w:r>
          </w:p>
        </w:tc>
      </w:tr>
      <w:tr w:rsidR="00EA6309">
        <w:tc>
          <w:tcPr>
            <w:tcW w:w="5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14</w:t>
            </w:r>
          </w:p>
        </w:tc>
        <w:tc>
          <w:tcPr>
            <w:tcW w:w="45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E.E. Oscar Kurtz; EMEI Gente Miúda</w:t>
            </w:r>
          </w:p>
        </w:tc>
        <w:tc>
          <w:tcPr>
            <w:tcW w:w="18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2 veículos (16 e 22 lugares)</w:t>
            </w:r>
          </w:p>
        </w:tc>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right"/>
            </w:pPr>
            <w:r>
              <w:rPr>
                <w:sz w:val="20"/>
                <w:szCs w:val="20"/>
              </w:rPr>
              <w:t>R$ 149.400,00</w:t>
            </w:r>
          </w:p>
        </w:tc>
      </w:tr>
      <w:tr w:rsidR="00EA6309">
        <w:tc>
          <w:tcPr>
            <w:tcW w:w="5071" w:type="dxa"/>
            <w:gridSpan w:val="2"/>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r>
              <w:rPr>
                <w:b/>
                <w:bCs/>
                <w:sz w:val="20"/>
                <w:szCs w:val="20"/>
              </w:rPr>
              <w:t>TOTAL</w:t>
            </w:r>
          </w:p>
        </w:tc>
        <w:tc>
          <w:tcPr>
            <w:tcW w:w="1800" w:type="dxa"/>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r>
              <w:rPr>
                <w:b/>
                <w:bCs/>
                <w:sz w:val="20"/>
                <w:szCs w:val="20"/>
              </w:rPr>
              <w:t>14 lotes / 43 rotas</w:t>
            </w:r>
          </w:p>
        </w:tc>
        <w:tc>
          <w:tcPr>
            <w:tcW w:w="2200" w:type="dxa"/>
            <w:tcBorders>
              <w:top w:val="single" w:sz="4" w:space="0" w:color="BBBBBB"/>
              <w:left w:val="single" w:sz="4" w:space="0" w:color="BBBBBB"/>
              <w:bottom w:val="single" w:sz="4" w:space="0" w:color="BBBBBB"/>
              <w:right w:val="single" w:sz="4" w:space="0" w:color="BBBBBB"/>
            </w:tcBorders>
            <w:shd w:val="clear" w:color="auto" w:fill="D6E4F0"/>
            <w:tcMar>
              <w:top w:w="70" w:type="dxa"/>
              <w:left w:w="110" w:type="dxa"/>
              <w:bottom w:w="70" w:type="dxa"/>
              <w:right w:w="110" w:type="dxa"/>
            </w:tcMar>
            <w:vAlign w:val="center"/>
          </w:tcPr>
          <w:p w:rsidR="00EA6309" w:rsidRDefault="00000000">
            <w:pPr>
              <w:jc w:val="right"/>
            </w:pPr>
            <w:r>
              <w:rPr>
                <w:b/>
                <w:bCs/>
                <w:sz w:val="20"/>
                <w:szCs w:val="20"/>
              </w:rPr>
              <w:t>R$ 2.332.200,00</w:t>
            </w:r>
          </w:p>
        </w:tc>
      </w:tr>
    </w:tbl>
    <w:p w:rsidR="00EA6309" w:rsidRDefault="00EA6309">
      <w:pPr>
        <w:spacing w:after="120" w:line="276" w:lineRule="auto"/>
        <w:jc w:val="both"/>
      </w:pPr>
    </w:p>
    <w:p w:rsidR="00EA6309" w:rsidRDefault="00000000">
      <w:pPr>
        <w:spacing w:after="120" w:line="276" w:lineRule="auto"/>
        <w:jc w:val="center"/>
      </w:pPr>
      <w:r>
        <w:rPr>
          <w:b/>
          <w:bCs/>
          <w:color w:val="000000"/>
        </w:rPr>
        <w:t>Valor Global Estimado Total (200 dias letivos): R$ 2.332.200,00</w:t>
      </w:r>
    </w:p>
    <w:p w:rsidR="00EA6309" w:rsidRDefault="00EA6309">
      <w:pPr>
        <w:spacing w:after="120" w:line="276" w:lineRule="auto"/>
        <w:jc w:val="both"/>
      </w:pPr>
    </w:p>
    <w:p w:rsidR="00EA6309" w:rsidRDefault="00000000">
      <w:pPr>
        <w:pStyle w:val="Ttulo2"/>
        <w:rPr>
          <w:color w:val="000000"/>
        </w:rPr>
      </w:pPr>
      <w:r>
        <w:rPr>
          <w:color w:val="000000"/>
        </w:rPr>
        <w:t>4.2 Preço Máximo Aceitável e Critérios de Inexequibilidade</w:t>
      </w:r>
    </w:p>
    <w:p w:rsidR="00EA6309" w:rsidRDefault="00000000">
      <w:pPr>
        <w:spacing w:after="120" w:line="276" w:lineRule="auto"/>
        <w:jc w:val="both"/>
      </w:pPr>
      <w:r>
        <w:rPr>
          <w:color w:val="000000"/>
        </w:rPr>
        <w:t>Os valores estimados por lote, apurados conforme metodologia descrita no item 4.1, constituirão o preço máximo aceitável (preço de referência) para cada lote no certame, nos termos do art. 18, inciso VI, da Lei nº 14.133/2021. Propostas que excedam o valor estimado por lote serão automaticamente desclassificadas, por configurarem proposta excessiva em relação ao preço de referência da Administração.</w:t>
      </w:r>
    </w:p>
    <w:p w:rsidR="00EA6309" w:rsidRDefault="00000000">
      <w:pPr>
        <w:spacing w:after="120" w:line="276" w:lineRule="auto"/>
        <w:jc w:val="both"/>
      </w:pPr>
      <w:r>
        <w:rPr>
          <w:color w:val="000000"/>
        </w:rPr>
        <w:t>Para fins de verificação de inexequibilidade, serão consideradas manifestamente inexequíveis as propostas que apresentem valor unitário por quilômetro inferior a 50% (cinquenta por cento) do preço de referência por tipo de veículo estabelecido neste ETP, aplicando-se por analogia o critério do art. 59, §4º, da Lei nº 14.133/2021 e a jurisprudência do TCU sobre preços inexequíveis em contratos de serviços continuados (v.g. Acórdão 2.369/2012-Plenário e Súmula TCU nº 262). Nessa hipótese, a Administração diligenciará o licitante para que comprove a exequibilidade da proposta mediante demonstração de custo operacional compatível (combustível, manutenção, mão de obra, seguro, depreciação e margem). A não comprovação ensejará desclassificação da proposta.</w:t>
      </w:r>
    </w:p>
    <w:p w:rsidR="00EA6309" w:rsidRDefault="00000000">
      <w:pPr>
        <w:pStyle w:val="Ttulo1"/>
        <w:rPr>
          <w:color w:val="000000"/>
        </w:rPr>
      </w:pPr>
      <w:r>
        <w:rPr>
          <w:color w:val="000000"/>
        </w:rPr>
        <w:t>5. MODALIDADE LICITATÓRIA E CRITÉRIO DE JULGAMENTO</w:t>
      </w:r>
    </w:p>
    <w:p w:rsidR="00EA6309" w:rsidRDefault="00000000">
      <w:pPr>
        <w:spacing w:after="120" w:line="276" w:lineRule="auto"/>
        <w:jc w:val="both"/>
      </w:pPr>
      <w:r>
        <w:rPr>
          <w:color w:val="000000"/>
        </w:rPr>
        <w:t>A contratação será realizada por meio de Pregão, na forma Eletrônica, com critério de julgamento por menor preço por lote, nos termos dos arts. 28, 29 e 30 c/c art. 17, §2º, da Lei nº 14.133/2021. A escolha do Pregão decorre do enquadramento dos serviços de transporte escolar como serviços comuns, cujos padrões de desempenho e qualidade podem ser objetivamente definidos em edital mediante especificações usuais de mercado.</w:t>
      </w:r>
    </w:p>
    <w:p w:rsidR="00EA6309" w:rsidRDefault="00000000">
      <w:pPr>
        <w:spacing w:after="120" w:line="276" w:lineRule="auto"/>
        <w:jc w:val="both"/>
      </w:pPr>
      <w:r>
        <w:rPr>
          <w:color w:val="000000"/>
        </w:rPr>
        <w:t>A forma Eletrônica é obrigatória como regra geral, nos termos do art. 17, §2º, da Lei nº 14.133/2021, e é a mais adequada ao caso concreto pelos seguintes fundamentos:</w:t>
      </w:r>
    </w:p>
    <w:p w:rsidR="00EA6309" w:rsidRDefault="00000000">
      <w:pPr>
        <w:numPr>
          <w:ilvl w:val="0"/>
          <w:numId w:val="1"/>
        </w:numPr>
        <w:pBdr>
          <w:top w:val="nil"/>
          <w:left w:val="nil"/>
          <w:bottom w:val="nil"/>
          <w:right w:val="nil"/>
          <w:between w:val="nil"/>
        </w:pBdr>
        <w:spacing w:after="80" w:line="276" w:lineRule="auto"/>
        <w:jc w:val="both"/>
      </w:pPr>
      <w:r>
        <w:rPr>
          <w:color w:val="000000"/>
        </w:rPr>
        <w:t>Ampliação da competitividade: o Pregão Eletrônico permite a participação de empresas de todo o território nacional, ampliando o universo de licitantes e favorecendo a obtenção de propostas mais vantajosas;</w:t>
      </w:r>
    </w:p>
    <w:p w:rsidR="00EA6309" w:rsidRDefault="00000000">
      <w:pPr>
        <w:numPr>
          <w:ilvl w:val="0"/>
          <w:numId w:val="1"/>
        </w:numPr>
        <w:pBdr>
          <w:top w:val="nil"/>
          <w:left w:val="nil"/>
          <w:bottom w:val="nil"/>
          <w:right w:val="nil"/>
          <w:between w:val="nil"/>
        </w:pBdr>
        <w:spacing w:after="80" w:line="276" w:lineRule="auto"/>
        <w:jc w:val="both"/>
      </w:pPr>
      <w:r>
        <w:rPr>
          <w:color w:val="000000"/>
        </w:rPr>
        <w:t>Isonomia e transparência: o processamento eletrônico garante imparcialidade, rastreabilidade completa dos atos e ampla publicidade, em conformidade com os princípios do art. 5º da Lei nº 14.133/2021;</w:t>
      </w:r>
    </w:p>
    <w:p w:rsidR="00EA6309" w:rsidRDefault="00000000">
      <w:pPr>
        <w:numPr>
          <w:ilvl w:val="0"/>
          <w:numId w:val="1"/>
        </w:numPr>
        <w:pBdr>
          <w:top w:val="nil"/>
          <w:left w:val="nil"/>
          <w:bottom w:val="nil"/>
          <w:right w:val="nil"/>
          <w:between w:val="nil"/>
        </w:pBdr>
        <w:spacing w:after="80" w:line="276" w:lineRule="auto"/>
        <w:jc w:val="both"/>
      </w:pPr>
      <w:r>
        <w:rPr>
          <w:color w:val="000000"/>
        </w:rPr>
        <w:t>Prazo adequado: diferentemente do Pregão Presencial, o prazo disponível para a instrução do processo permite o cumprimento dos prazos mínimos para o Pregão Eletrônico (mínimo de 8 dias úteis entre publicação e sessão, nos termos do art. 55, §1º, II, da Lei nº 14.133/2021);</w:t>
      </w:r>
    </w:p>
    <w:p w:rsidR="00EA6309" w:rsidRDefault="00000000">
      <w:pPr>
        <w:numPr>
          <w:ilvl w:val="0"/>
          <w:numId w:val="1"/>
        </w:numPr>
        <w:pBdr>
          <w:top w:val="nil"/>
          <w:left w:val="nil"/>
          <w:bottom w:val="nil"/>
          <w:right w:val="nil"/>
          <w:between w:val="nil"/>
        </w:pBdr>
        <w:spacing w:after="80" w:line="276" w:lineRule="auto"/>
        <w:jc w:val="both"/>
      </w:pPr>
      <w:r>
        <w:rPr>
          <w:color w:val="000000"/>
        </w:rPr>
        <w:t>Compatibilidade com a natureza dos lotes: os 14 lotes são independentes e podem ser licitados eletronicamente com eficiência, permitindo que diferentes licitantes participem de um ou mais lotes conforme sua capacidade operacional.</w:t>
      </w:r>
    </w:p>
    <w:p w:rsidR="00EA6309" w:rsidRDefault="00000000">
      <w:pPr>
        <w:spacing w:after="120" w:line="276" w:lineRule="auto"/>
        <w:jc w:val="both"/>
      </w:pPr>
      <w:r>
        <w:rPr>
          <w:color w:val="000000"/>
        </w:rPr>
        <w:t>O critério de menor preço por lote é o mais adequado para o objeto, pois os serviços de transporte escolar são padronizáveis por rota e por quilômetro percorrido, e a disputa de preços é o mecanismo mais eficiente para selecionar a proposta mais vantajosa para a Administração.</w:t>
      </w:r>
    </w:p>
    <w:p w:rsidR="00EA6309" w:rsidRDefault="00000000">
      <w:pPr>
        <w:spacing w:after="120" w:line="276" w:lineRule="auto"/>
        <w:jc w:val="both"/>
      </w:pPr>
      <w:r>
        <w:rPr>
          <w:color w:val="000000"/>
        </w:rPr>
        <w:t>Registra-se, por fim, que o art. 28, caput, da Lei nº 14.133/2021 torna o Pregão obrigatório para a aquisição de bens e a contratação de serviços comuns, e que o transporte escolar constitui serviço comum cujos padrões de qualidade e desempenho são amplamente definíveis por especificações usuais de mercado, conforme reiterada jurisprudência do TCU (Acórdão 1.127/2013-Plenário e outros) e do TCE-SP. Sendo a modalidade determinada por imposição legal, não há exigência normativa de análise comparativa com outras modalidades: a justificativa adicional exigida pelo art. 17, §2º, da mesma Lei refere-se exclusivamente à opção pela forma Presencial em detrimento da Eletrônica — hipótese contrária à adotada neste processo, em que se adota a forma Eletrônica como padrão legal.</w:t>
      </w:r>
    </w:p>
    <w:p w:rsidR="00EA6309" w:rsidRDefault="00000000">
      <w:pPr>
        <w:pStyle w:val="Ttulo1"/>
        <w:rPr>
          <w:color w:val="000000"/>
        </w:rPr>
      </w:pPr>
      <w:r>
        <w:rPr>
          <w:color w:val="000000"/>
        </w:rPr>
        <w:t>6. JUSTIFICATIVA PARA O PARCELAMENTO EM LOTES</w:t>
      </w:r>
    </w:p>
    <w:p w:rsidR="00EA6309" w:rsidRDefault="00000000">
      <w:pPr>
        <w:spacing w:after="120" w:line="276" w:lineRule="auto"/>
        <w:jc w:val="both"/>
      </w:pPr>
      <w:r>
        <w:rPr>
          <w:color w:val="000000"/>
        </w:rPr>
        <w:t>Em atendimento ao art. 40, §1º, e ao art. 47, I, da Lei nº 14.133/2021 — que exige a divisão em lotes como regra quando tecnicamente viável e economicamente vantajosa —, o objeto foi parcelado em 14 lotes, cada um correspondendo a um conjunto de rotas geograficamente próximas e operacionalmente compatíveis. Os fundamentos do parcelamento são:</w:t>
      </w:r>
    </w:p>
    <w:p w:rsidR="00EA6309" w:rsidRDefault="00000000">
      <w:pPr>
        <w:numPr>
          <w:ilvl w:val="0"/>
          <w:numId w:val="1"/>
        </w:numPr>
        <w:pBdr>
          <w:top w:val="nil"/>
          <w:left w:val="nil"/>
          <w:bottom w:val="nil"/>
          <w:right w:val="nil"/>
          <w:between w:val="nil"/>
        </w:pBdr>
        <w:spacing w:after="80" w:line="276" w:lineRule="auto"/>
        <w:jc w:val="both"/>
      </w:pPr>
      <w:r>
        <w:rPr>
          <w:color w:val="000000"/>
        </w:rPr>
        <w:t>Ampliação da competitividade e acesso de MPEs: o parcelamento em lotes de menor vulto econômico (variando de R$ 76.000 a R$ 317.000) permite a participação de micro e pequenas empresas de transporte escolar que não teriam capacidade financeira e técnica para assumir o objeto global, em conformidade com o art. 47, I, da Lei nº 14.133/2021 e com os arts. 44 e 45 da LC nº 123/2006;</w:t>
      </w:r>
    </w:p>
    <w:p w:rsidR="00EA6309" w:rsidRDefault="00000000">
      <w:pPr>
        <w:numPr>
          <w:ilvl w:val="0"/>
          <w:numId w:val="1"/>
        </w:numPr>
        <w:pBdr>
          <w:top w:val="nil"/>
          <w:left w:val="nil"/>
          <w:bottom w:val="nil"/>
          <w:right w:val="nil"/>
          <w:between w:val="nil"/>
        </w:pBdr>
        <w:spacing w:after="80" w:line="276" w:lineRule="auto"/>
        <w:jc w:val="both"/>
      </w:pPr>
      <w:r>
        <w:rPr>
          <w:color w:val="000000"/>
        </w:rPr>
        <w:t>Independência operacional de cada lote: cada lote é composto por rotas que podem ser executadas por um único operador com frota própria, sem dependência operacional entre lotes distintos. A eventual inadimplência em um lote não compromete a execução dos demais;</w:t>
      </w:r>
    </w:p>
    <w:p w:rsidR="00EA6309" w:rsidRDefault="00000000">
      <w:pPr>
        <w:numPr>
          <w:ilvl w:val="0"/>
          <w:numId w:val="1"/>
        </w:numPr>
        <w:pBdr>
          <w:top w:val="nil"/>
          <w:left w:val="nil"/>
          <w:bottom w:val="nil"/>
          <w:right w:val="nil"/>
          <w:between w:val="nil"/>
        </w:pBdr>
        <w:spacing w:after="80" w:line="276" w:lineRule="auto"/>
        <w:jc w:val="both"/>
      </w:pPr>
      <w:r>
        <w:rPr>
          <w:color w:val="000000"/>
        </w:rPr>
        <w:t>Distribuição e mitigação de riscos: a fragmentação em 14 contratos independentes impede que a falha de um único contratado comprometa o transporte escolar de toda a rede municipal, reduzindo o risco de paralisação generalizada;</w:t>
      </w:r>
    </w:p>
    <w:p w:rsidR="00EA6309" w:rsidRDefault="00000000">
      <w:pPr>
        <w:numPr>
          <w:ilvl w:val="0"/>
          <w:numId w:val="1"/>
        </w:numPr>
        <w:pBdr>
          <w:top w:val="nil"/>
          <w:left w:val="nil"/>
          <w:bottom w:val="nil"/>
          <w:right w:val="nil"/>
          <w:between w:val="nil"/>
        </w:pBdr>
        <w:spacing w:after="80" w:line="276" w:lineRule="auto"/>
        <w:jc w:val="both"/>
      </w:pPr>
      <w:r>
        <w:rPr>
          <w:color w:val="000000"/>
        </w:rPr>
        <w:t>Compatibilidade geográfica: os lotes foram agrupados por proximidade geográfica e por similaridade de veículo necessário (4 lugares traçado, 16, 22 ou 37 lugares), otimizando a logística operacional do contratado e a fiscalização pela Administração;</w:t>
      </w:r>
    </w:p>
    <w:p w:rsidR="00EA6309" w:rsidRDefault="00000000">
      <w:pPr>
        <w:numPr>
          <w:ilvl w:val="0"/>
          <w:numId w:val="1"/>
        </w:numPr>
        <w:pBdr>
          <w:top w:val="nil"/>
          <w:left w:val="nil"/>
          <w:bottom w:val="nil"/>
          <w:right w:val="nil"/>
          <w:between w:val="nil"/>
        </w:pBdr>
        <w:spacing w:after="80" w:line="276" w:lineRule="auto"/>
        <w:jc w:val="both"/>
      </w:pPr>
      <w:r>
        <w:rPr>
          <w:color w:val="000000"/>
        </w:rPr>
        <w:t xml:space="preserve">Preservação da economicidade: o parcelamento não implica fragmentação artificial vedada pelo art. 137, IV, da Lei nº 14.133/2021, pois os lotes são distintos e </w:t>
      </w:r>
      <w:r>
        <w:t>tecnicamente autônomos.</w:t>
      </w:r>
    </w:p>
    <w:p w:rsidR="00EA6309" w:rsidRDefault="00000000">
      <w:pPr>
        <w:pStyle w:val="Ttulo1"/>
        <w:rPr>
          <w:color w:val="000000"/>
        </w:rPr>
      </w:pPr>
      <w:r>
        <w:rPr>
          <w:color w:val="000000"/>
        </w:rPr>
        <w:t>7. REQUISITOS DA CONTRATAÇÃO E QUALIFICAÇÃO EXIGIDA</w:t>
      </w:r>
    </w:p>
    <w:p w:rsidR="00EA6309" w:rsidRDefault="00000000">
      <w:pPr>
        <w:pStyle w:val="Ttulo2"/>
        <w:rPr>
          <w:color w:val="000000"/>
        </w:rPr>
      </w:pPr>
      <w:r>
        <w:rPr>
          <w:color w:val="000000"/>
        </w:rPr>
        <w:t>7.1 Requisitos dos Veículos</w:t>
      </w:r>
    </w:p>
    <w:p w:rsidR="00EA6309" w:rsidRDefault="00000000">
      <w:pPr>
        <w:numPr>
          <w:ilvl w:val="0"/>
          <w:numId w:val="1"/>
        </w:numPr>
        <w:pBdr>
          <w:top w:val="nil"/>
          <w:left w:val="nil"/>
          <w:bottom w:val="nil"/>
          <w:right w:val="nil"/>
          <w:between w:val="nil"/>
        </w:pBdr>
        <w:spacing w:after="80" w:line="276" w:lineRule="auto"/>
        <w:jc w:val="both"/>
      </w:pPr>
      <w:r>
        <w:t>Veículos com no máximo 10 (de</w:t>
      </w:r>
      <w:r>
        <w:rPr>
          <w:color w:val="000000"/>
        </w:rPr>
        <w:t>z) anos de fabricação, comprovados pelo CRLV;</w:t>
      </w:r>
    </w:p>
    <w:p w:rsidR="00EA6309" w:rsidRDefault="00000000">
      <w:pPr>
        <w:numPr>
          <w:ilvl w:val="0"/>
          <w:numId w:val="1"/>
        </w:numPr>
        <w:pBdr>
          <w:top w:val="nil"/>
          <w:left w:val="nil"/>
          <w:bottom w:val="nil"/>
          <w:right w:val="nil"/>
          <w:between w:val="nil"/>
        </w:pBdr>
        <w:spacing w:after="80" w:line="276" w:lineRule="auto"/>
        <w:jc w:val="both"/>
      </w:pPr>
      <w:r>
        <w:rPr>
          <w:color w:val="000000"/>
        </w:rPr>
        <w:t>Autorização para Transporte Escolar expedida pelo DETRAN/SP, nos termos da Portaria DETRAN nº 1.310/2014, em nome da empresa ou vinculada a ela;</w:t>
      </w:r>
    </w:p>
    <w:p w:rsidR="00EA6309" w:rsidRDefault="00000000">
      <w:pPr>
        <w:numPr>
          <w:ilvl w:val="0"/>
          <w:numId w:val="1"/>
        </w:numPr>
        <w:pBdr>
          <w:top w:val="nil"/>
          <w:left w:val="nil"/>
          <w:bottom w:val="nil"/>
          <w:right w:val="nil"/>
          <w:between w:val="nil"/>
        </w:pBdr>
        <w:spacing w:after="80" w:line="276" w:lineRule="auto"/>
        <w:jc w:val="both"/>
      </w:pPr>
      <w:r>
        <w:rPr>
          <w:color w:val="000000"/>
        </w:rPr>
        <w:t>Seguro de responsabilidade civil obrigatório, nos termos do art. 137, §2º, do CTB c/c Portaria DETRAN/SP nº 1.310/2014, com cobertura mínima de R$ 100.000,00 (cem mil reais) por passageiro por sinistro e de R$ 500.000,00 (quinhentos mil reais) por evento, abrangendo danos pessoais e materiais a todos os passageiros transportados e a terceiros;</w:t>
      </w:r>
    </w:p>
    <w:p w:rsidR="00EA6309" w:rsidRDefault="00000000">
      <w:pPr>
        <w:numPr>
          <w:ilvl w:val="0"/>
          <w:numId w:val="1"/>
        </w:numPr>
        <w:pBdr>
          <w:top w:val="nil"/>
          <w:left w:val="nil"/>
          <w:bottom w:val="nil"/>
          <w:right w:val="nil"/>
          <w:between w:val="nil"/>
        </w:pBdr>
        <w:spacing w:after="80" w:line="276" w:lineRule="auto"/>
        <w:jc w:val="both"/>
      </w:pPr>
      <w:r>
        <w:rPr>
          <w:color w:val="000000"/>
        </w:rPr>
        <w:t>Vigência e renovação da apólice: a cobertura de seguro deverá ser mantida ininterruptamente durante toda a vigência contratual, devendo a Contratada apresentar comprovante de renovação ao Fiscal do Contrato com antecedência mínima de 15 (quinze) dias corridos antes do vencimento, sob pena de suspensão do pagamento mensal até a regularização;</w:t>
      </w:r>
    </w:p>
    <w:p w:rsidR="00EA6309" w:rsidRDefault="00000000">
      <w:pPr>
        <w:numPr>
          <w:ilvl w:val="0"/>
          <w:numId w:val="1"/>
        </w:numPr>
        <w:pBdr>
          <w:top w:val="nil"/>
          <w:left w:val="nil"/>
          <w:bottom w:val="nil"/>
          <w:right w:val="nil"/>
          <w:between w:val="nil"/>
        </w:pBdr>
        <w:spacing w:after="80" w:line="276" w:lineRule="auto"/>
        <w:jc w:val="both"/>
      </w:pPr>
      <w:r>
        <w:rPr>
          <w:color w:val="000000"/>
        </w:rPr>
        <w:t>Responsabilidade solidária em subcontratação: em caso de subcontratação de veículos, a Contratada responderá solidariamente pelos danos causados por veículos subcontratados, exigindo do subcontratado a mesma cobertura mínima de seguro, cuja comprovação integrará a documentação de subcontratação a ser apresentada à Contratante;</w:t>
      </w:r>
    </w:p>
    <w:p w:rsidR="00EA6309" w:rsidRDefault="00000000">
      <w:pPr>
        <w:numPr>
          <w:ilvl w:val="0"/>
          <w:numId w:val="1"/>
        </w:numPr>
        <w:pBdr>
          <w:top w:val="nil"/>
          <w:left w:val="nil"/>
          <w:bottom w:val="nil"/>
          <w:right w:val="nil"/>
          <w:between w:val="nil"/>
        </w:pBdr>
        <w:spacing w:after="80" w:line="276" w:lineRule="auto"/>
        <w:jc w:val="both"/>
      </w:pPr>
      <w:r>
        <w:rPr>
          <w:color w:val="000000"/>
        </w:rPr>
        <w:t>Identificação externa com adesivos indicando que o veículo está a serviço da Prefeitura Municipal de Ribeirão Grande/SP, com o número do canal de ouvidoria (0800-7700118), identificação como Transporte Escolar e capacidade de lugares;</w:t>
      </w:r>
    </w:p>
    <w:p w:rsidR="00EA6309" w:rsidRDefault="00000000">
      <w:pPr>
        <w:numPr>
          <w:ilvl w:val="0"/>
          <w:numId w:val="1"/>
        </w:numPr>
        <w:pBdr>
          <w:top w:val="nil"/>
          <w:left w:val="nil"/>
          <w:bottom w:val="nil"/>
          <w:right w:val="nil"/>
          <w:between w:val="nil"/>
        </w:pBdr>
        <w:spacing w:after="80" w:line="276" w:lineRule="auto"/>
        <w:jc w:val="both"/>
      </w:pPr>
      <w:r>
        <w:rPr>
          <w:color w:val="000000"/>
        </w:rPr>
        <w:t>Veículos dos Lotes 8 e 10 devem possuir tração 4x4 (traçados), dada a condição das vias rurais de acesso ao Bairro Barro Branco e ao Bairro Passagem;</w:t>
      </w:r>
    </w:p>
    <w:p w:rsidR="00EA6309" w:rsidRDefault="00000000">
      <w:pPr>
        <w:numPr>
          <w:ilvl w:val="0"/>
          <w:numId w:val="1"/>
        </w:numPr>
        <w:pBdr>
          <w:top w:val="nil"/>
          <w:left w:val="nil"/>
          <w:bottom w:val="nil"/>
          <w:right w:val="nil"/>
          <w:between w:val="nil"/>
        </w:pBdr>
        <w:spacing w:after="80" w:line="276" w:lineRule="auto"/>
        <w:jc w:val="both"/>
      </w:pPr>
      <w:r>
        <w:rPr>
          <w:color w:val="000000"/>
        </w:rPr>
        <w:t>Certificado de Vistoria do Cronotacógrafo e cópia autenticada de vistoria junto à Contratante e ao DETRAN.</w:t>
      </w:r>
    </w:p>
    <w:p w:rsidR="00EA6309" w:rsidRDefault="00000000">
      <w:pPr>
        <w:pStyle w:val="Ttulo2"/>
        <w:rPr>
          <w:color w:val="000000"/>
        </w:rPr>
      </w:pPr>
      <w:r>
        <w:rPr>
          <w:color w:val="000000"/>
        </w:rPr>
        <w:t>7.2 Requisitos dos Condutores</w:t>
      </w:r>
    </w:p>
    <w:p w:rsidR="00EA6309" w:rsidRDefault="00000000">
      <w:pPr>
        <w:numPr>
          <w:ilvl w:val="0"/>
          <w:numId w:val="1"/>
        </w:numPr>
        <w:pBdr>
          <w:top w:val="nil"/>
          <w:left w:val="nil"/>
          <w:bottom w:val="nil"/>
          <w:right w:val="nil"/>
          <w:between w:val="nil"/>
        </w:pBdr>
        <w:spacing w:after="80" w:line="276" w:lineRule="auto"/>
        <w:jc w:val="both"/>
      </w:pPr>
      <w:r>
        <w:t>Habilitação na Categoria D, válida e em plena regularidade;</w:t>
      </w:r>
    </w:p>
    <w:p w:rsidR="00EA6309" w:rsidRDefault="00000000">
      <w:pPr>
        <w:numPr>
          <w:ilvl w:val="0"/>
          <w:numId w:val="1"/>
        </w:numPr>
        <w:pBdr>
          <w:top w:val="nil"/>
          <w:left w:val="nil"/>
          <w:bottom w:val="nil"/>
          <w:right w:val="nil"/>
          <w:between w:val="nil"/>
        </w:pBdr>
        <w:spacing w:after="80" w:line="276" w:lineRule="auto"/>
        <w:jc w:val="both"/>
      </w:pPr>
      <w:r>
        <w:t>Credencial expedida pela Divisão de Educação de Trânsito do DETRAN/SP;</w:t>
      </w:r>
    </w:p>
    <w:p w:rsidR="00EA6309" w:rsidRDefault="00000000">
      <w:pPr>
        <w:numPr>
          <w:ilvl w:val="0"/>
          <w:numId w:val="1"/>
        </w:numPr>
        <w:pBdr>
          <w:top w:val="nil"/>
          <w:left w:val="nil"/>
          <w:bottom w:val="nil"/>
          <w:right w:val="nil"/>
          <w:between w:val="nil"/>
        </w:pBdr>
        <w:spacing w:after="80" w:line="276" w:lineRule="auto"/>
        <w:jc w:val="both"/>
      </w:pPr>
      <w:r>
        <w:t>Idade mínima de 21 (vinte e um) anos;</w:t>
      </w:r>
    </w:p>
    <w:p w:rsidR="00EA6309" w:rsidRDefault="00000000">
      <w:pPr>
        <w:numPr>
          <w:ilvl w:val="0"/>
          <w:numId w:val="1"/>
        </w:numPr>
        <w:pBdr>
          <w:top w:val="nil"/>
          <w:left w:val="nil"/>
          <w:bottom w:val="nil"/>
          <w:right w:val="nil"/>
          <w:between w:val="nil"/>
        </w:pBdr>
        <w:spacing w:after="80" w:line="276" w:lineRule="auto"/>
        <w:jc w:val="both"/>
      </w:pPr>
      <w:r>
        <w:t>Ausência de infração grave ou gravíssima, ou reincidência em infrações médias nos últimos 12 meses;</w:t>
      </w:r>
    </w:p>
    <w:p w:rsidR="00EA6309" w:rsidRDefault="00000000">
      <w:pPr>
        <w:numPr>
          <w:ilvl w:val="0"/>
          <w:numId w:val="1"/>
        </w:numPr>
        <w:pBdr>
          <w:top w:val="nil"/>
          <w:left w:val="nil"/>
          <w:bottom w:val="nil"/>
          <w:right w:val="nil"/>
          <w:between w:val="nil"/>
        </w:pBdr>
        <w:spacing w:after="80" w:line="276" w:lineRule="auto"/>
        <w:jc w:val="both"/>
      </w:pPr>
      <w:r>
        <w:t>Certidão negativa de distribuição criminal relativa a crimes de homicídio, roubo, estupro e corrupção de menores (renovável a cada 5 anos).</w:t>
      </w:r>
    </w:p>
    <w:p w:rsidR="00EA6309" w:rsidRDefault="00000000">
      <w:pPr>
        <w:pStyle w:val="Ttulo2"/>
        <w:rPr>
          <w:color w:val="000000"/>
        </w:rPr>
      </w:pPr>
      <w:r>
        <w:rPr>
          <w:color w:val="000000"/>
        </w:rPr>
        <w:t>7.3 Requisitos dos Monitores</w:t>
      </w:r>
    </w:p>
    <w:p w:rsidR="00EA6309" w:rsidRDefault="00000000">
      <w:pPr>
        <w:numPr>
          <w:ilvl w:val="0"/>
          <w:numId w:val="1"/>
        </w:numPr>
        <w:pBdr>
          <w:top w:val="nil"/>
          <w:left w:val="nil"/>
          <w:bottom w:val="nil"/>
          <w:right w:val="nil"/>
          <w:between w:val="nil"/>
        </w:pBdr>
        <w:spacing w:after="80" w:line="276" w:lineRule="auto"/>
        <w:jc w:val="both"/>
      </w:pPr>
      <w:r>
        <w:t>Vínculo empregatício formalizado com a empresa contratada;</w:t>
      </w:r>
    </w:p>
    <w:p w:rsidR="00EA6309" w:rsidRDefault="00000000">
      <w:pPr>
        <w:numPr>
          <w:ilvl w:val="0"/>
          <w:numId w:val="1"/>
        </w:numPr>
        <w:pBdr>
          <w:top w:val="nil"/>
          <w:left w:val="nil"/>
          <w:bottom w:val="nil"/>
          <w:right w:val="nil"/>
          <w:between w:val="nil"/>
        </w:pBdr>
        <w:spacing w:after="80" w:line="276" w:lineRule="auto"/>
        <w:jc w:val="both"/>
      </w:pPr>
      <w:r>
        <w:t>Idade mínima de 18 (dezoito) anos;</w:t>
      </w:r>
    </w:p>
    <w:p w:rsidR="00EA6309" w:rsidRDefault="00000000">
      <w:pPr>
        <w:numPr>
          <w:ilvl w:val="0"/>
          <w:numId w:val="1"/>
        </w:numPr>
        <w:pBdr>
          <w:top w:val="nil"/>
          <w:left w:val="nil"/>
          <w:bottom w:val="nil"/>
          <w:right w:val="nil"/>
          <w:between w:val="nil"/>
        </w:pBdr>
        <w:spacing w:after="80" w:line="276" w:lineRule="auto"/>
        <w:jc w:val="both"/>
      </w:pPr>
      <w:r>
        <w:t>Certidão negativa de antecedentes criminais relativos a crimes de homicídio, roubo, estupro e corrupção de menores (Resolução SE nº 28/2011);</w:t>
      </w:r>
    </w:p>
    <w:p w:rsidR="00EA6309" w:rsidRDefault="00000000">
      <w:pPr>
        <w:numPr>
          <w:ilvl w:val="0"/>
          <w:numId w:val="1"/>
        </w:numPr>
        <w:pBdr>
          <w:top w:val="nil"/>
          <w:left w:val="nil"/>
          <w:bottom w:val="nil"/>
          <w:right w:val="nil"/>
          <w:between w:val="nil"/>
        </w:pBdr>
        <w:spacing w:after="80" w:line="276" w:lineRule="auto"/>
        <w:jc w:val="both"/>
      </w:pPr>
      <w:r>
        <w:t>Utilização de colete e/ou uniforme de identificação durante o serviço;</w:t>
      </w:r>
    </w:p>
    <w:p w:rsidR="00EA6309" w:rsidRDefault="00000000">
      <w:pPr>
        <w:numPr>
          <w:ilvl w:val="0"/>
          <w:numId w:val="1"/>
        </w:numPr>
        <w:pBdr>
          <w:top w:val="nil"/>
          <w:left w:val="nil"/>
          <w:bottom w:val="nil"/>
          <w:right w:val="nil"/>
          <w:between w:val="nil"/>
        </w:pBdr>
        <w:spacing w:after="80" w:line="276" w:lineRule="auto"/>
        <w:jc w:val="both"/>
      </w:pPr>
      <w:r>
        <w:t>Responsabilidades: coordenar, organizar e acompanhar os alunos no veículo, garantir uso do cinto de segurança, conferir carteirinhas e autorizações.</w:t>
      </w:r>
    </w:p>
    <w:p w:rsidR="00EA6309" w:rsidRDefault="00000000">
      <w:pPr>
        <w:pStyle w:val="Ttulo2"/>
        <w:rPr>
          <w:color w:val="000000"/>
        </w:rPr>
      </w:pPr>
      <w:r>
        <w:rPr>
          <w:color w:val="000000"/>
        </w:rPr>
        <w:t>7.4 Requisitos de Habilitação</w:t>
      </w:r>
    </w:p>
    <w:p w:rsidR="00EA6309" w:rsidRDefault="00000000">
      <w:pPr>
        <w:numPr>
          <w:ilvl w:val="0"/>
          <w:numId w:val="1"/>
        </w:numPr>
        <w:pBdr>
          <w:top w:val="nil"/>
          <w:left w:val="nil"/>
          <w:bottom w:val="nil"/>
          <w:right w:val="nil"/>
          <w:between w:val="nil"/>
        </w:pBdr>
        <w:spacing w:after="80" w:line="276" w:lineRule="auto"/>
        <w:jc w:val="both"/>
      </w:pPr>
      <w:r>
        <w:t>Habilitação jurídica: pessoa jurídica com objeto social compatível com a prestação de serviços de transporte escolar, comprovada mediante ato constitutivo e alterações vigentes;</w:t>
      </w:r>
    </w:p>
    <w:p w:rsidR="00EA6309" w:rsidRDefault="00000000">
      <w:pPr>
        <w:numPr>
          <w:ilvl w:val="0"/>
          <w:numId w:val="1"/>
        </w:numPr>
        <w:pBdr>
          <w:top w:val="nil"/>
          <w:left w:val="nil"/>
          <w:bottom w:val="nil"/>
          <w:right w:val="nil"/>
          <w:between w:val="nil"/>
        </w:pBdr>
        <w:spacing w:after="80" w:line="276" w:lineRule="auto"/>
        <w:jc w:val="both"/>
      </w:pPr>
      <w:r>
        <w:t>Regularidade fiscal, social e trabalhista: certidões negativas perante a Receita Federal (incluindo INSS), FGTS, Justiça do Trabalho e Fazendas Estadual e Municipal da sede do licitante;</w:t>
      </w:r>
    </w:p>
    <w:p w:rsidR="00EA6309" w:rsidRDefault="00000000">
      <w:pPr>
        <w:numPr>
          <w:ilvl w:val="0"/>
          <w:numId w:val="1"/>
        </w:numPr>
        <w:pBdr>
          <w:top w:val="nil"/>
          <w:left w:val="nil"/>
          <w:bottom w:val="nil"/>
          <w:right w:val="nil"/>
          <w:between w:val="nil"/>
        </w:pBdr>
        <w:spacing w:after="80" w:line="276" w:lineRule="auto"/>
        <w:jc w:val="both"/>
      </w:pPr>
      <w:r>
        <w:t>Qualificação econômico-financeira: índices de Liquidez Corrente (LC) e Liquidez Geral (LG) iguais ou superiores a 1,00, demonstrados por balanço patrimonial e demonstrações contábeis do último exercício;</w:t>
      </w:r>
    </w:p>
    <w:p w:rsidR="00EA6309" w:rsidRDefault="00000000">
      <w:pPr>
        <w:numPr>
          <w:ilvl w:val="0"/>
          <w:numId w:val="1"/>
        </w:numPr>
        <w:pBdr>
          <w:top w:val="nil"/>
          <w:left w:val="nil"/>
          <w:bottom w:val="nil"/>
          <w:right w:val="nil"/>
          <w:between w:val="nil"/>
        </w:pBdr>
        <w:spacing w:after="80" w:line="276" w:lineRule="auto"/>
        <w:jc w:val="both"/>
      </w:pPr>
      <w:r>
        <w:t>Qualificação técnica: atestado(s) de capacidade técnica emitido(s) por pessoa jurídica de direito público ou privado, comprovando execução anterior de serviços de transporte escolar equivalentes a no mínimo 50% do quantitativo de cada lote disputado, nos termos do art. 67, I, da Lei nº 14.133/2021;</w:t>
      </w:r>
    </w:p>
    <w:p w:rsidR="00EA6309" w:rsidRDefault="00000000">
      <w:pPr>
        <w:numPr>
          <w:ilvl w:val="0"/>
          <w:numId w:val="1"/>
        </w:numPr>
        <w:pBdr>
          <w:top w:val="nil"/>
          <w:left w:val="nil"/>
          <w:bottom w:val="nil"/>
          <w:right w:val="nil"/>
          <w:between w:val="nil"/>
        </w:pBdr>
        <w:spacing w:after="80" w:line="276" w:lineRule="auto"/>
        <w:jc w:val="both"/>
      </w:pPr>
      <w:r>
        <w:t>Comprovação de disponibilidade dos veículos a serem utilizados (certificado de propriedade em nome do licitante ou contrato de arrendamento/leasing/cessão); em caso de subcontratação de veículo, apresentação de instrumento de vinculação;</w:t>
      </w:r>
    </w:p>
    <w:p w:rsidR="00EA6309" w:rsidRDefault="00000000">
      <w:pPr>
        <w:numPr>
          <w:ilvl w:val="0"/>
          <w:numId w:val="1"/>
        </w:numPr>
        <w:pBdr>
          <w:top w:val="nil"/>
          <w:left w:val="nil"/>
          <w:bottom w:val="nil"/>
          <w:right w:val="nil"/>
          <w:between w:val="nil"/>
        </w:pBdr>
        <w:spacing w:after="80" w:line="276" w:lineRule="auto"/>
        <w:jc w:val="both"/>
      </w:pPr>
      <w:r>
        <w:t>Não é admitida a participação de consórcios, por se tratar de prestação de serviços comuns que não envolv</w:t>
      </w:r>
      <w:r>
        <w:rPr>
          <w:color w:val="000000"/>
        </w:rPr>
        <w:t xml:space="preserve">em alta complexidade técnica ou vulto econômico extraordinário que justifique a junção de esforços, conforme jurisprudência </w:t>
      </w:r>
      <w:r>
        <w:t>consolidada do TCU e do TCE-SP.</w:t>
      </w:r>
    </w:p>
    <w:p w:rsidR="00EA6309" w:rsidRDefault="00000000">
      <w:pPr>
        <w:pStyle w:val="Ttulo2"/>
        <w:rPr>
          <w:color w:val="000000"/>
        </w:rPr>
      </w:pPr>
      <w:r>
        <w:rPr>
          <w:color w:val="000000"/>
        </w:rPr>
        <w:t>7.5 Execução dos Serviços — Obrigações Gerais</w:t>
      </w:r>
    </w:p>
    <w:p w:rsidR="00EA6309" w:rsidRDefault="00000000">
      <w:pPr>
        <w:numPr>
          <w:ilvl w:val="0"/>
          <w:numId w:val="1"/>
        </w:numPr>
        <w:pBdr>
          <w:top w:val="nil"/>
          <w:left w:val="nil"/>
          <w:bottom w:val="nil"/>
          <w:right w:val="nil"/>
          <w:between w:val="nil"/>
        </w:pBdr>
        <w:spacing w:after="80" w:line="276" w:lineRule="auto"/>
        <w:jc w:val="both"/>
      </w:pPr>
      <w:r>
        <w:t>Cumprimento rigoroso dos horários, percursos e paradas definidas pela Secretaria de Educação;</w:t>
      </w:r>
    </w:p>
    <w:p w:rsidR="00EA6309" w:rsidRDefault="00000000">
      <w:pPr>
        <w:numPr>
          <w:ilvl w:val="0"/>
          <w:numId w:val="1"/>
        </w:numPr>
        <w:pBdr>
          <w:top w:val="nil"/>
          <w:left w:val="nil"/>
          <w:bottom w:val="nil"/>
          <w:right w:val="nil"/>
          <w:between w:val="nil"/>
        </w:pBdr>
        <w:spacing w:after="80" w:line="276" w:lineRule="auto"/>
        <w:jc w:val="both"/>
      </w:pPr>
      <w:r>
        <w:t>Vedação absoluta ao transporte de caronistas, ressalvados os casos autorizados pelo Setor de Transporte Escolar;</w:t>
      </w:r>
    </w:p>
    <w:p w:rsidR="00EA6309" w:rsidRDefault="00000000">
      <w:pPr>
        <w:numPr>
          <w:ilvl w:val="0"/>
          <w:numId w:val="1"/>
        </w:numPr>
        <w:pBdr>
          <w:top w:val="nil"/>
          <w:left w:val="nil"/>
          <w:bottom w:val="nil"/>
          <w:right w:val="nil"/>
          <w:between w:val="nil"/>
        </w:pBdr>
        <w:spacing w:after="80" w:line="276" w:lineRule="auto"/>
        <w:jc w:val="both"/>
      </w:pPr>
      <w:r>
        <w:t>Substituição imediata do veículo titular em caso de pane, acidente ou manutenção, sem ônus adicional para a Contratante;</w:t>
      </w:r>
    </w:p>
    <w:p w:rsidR="00EA6309" w:rsidRDefault="00000000">
      <w:pPr>
        <w:numPr>
          <w:ilvl w:val="0"/>
          <w:numId w:val="1"/>
        </w:numPr>
        <w:pBdr>
          <w:top w:val="nil"/>
          <w:left w:val="nil"/>
          <w:bottom w:val="nil"/>
          <w:right w:val="nil"/>
          <w:between w:val="nil"/>
        </w:pBdr>
        <w:spacing w:after="80" w:line="276" w:lineRule="auto"/>
        <w:jc w:val="both"/>
      </w:pPr>
      <w:r>
        <w:t>Custeio de combustível, manutenção, seguros e demais despesas operacionais pela Contratada;</w:t>
      </w:r>
    </w:p>
    <w:p w:rsidR="00EA6309" w:rsidRDefault="00000000">
      <w:pPr>
        <w:numPr>
          <w:ilvl w:val="0"/>
          <w:numId w:val="1"/>
        </w:numPr>
        <w:pBdr>
          <w:top w:val="nil"/>
          <w:left w:val="nil"/>
          <w:bottom w:val="nil"/>
          <w:right w:val="nil"/>
          <w:between w:val="nil"/>
        </w:pBdr>
        <w:spacing w:after="80" w:line="276" w:lineRule="auto"/>
        <w:jc w:val="both"/>
      </w:pPr>
      <w:r>
        <w:t>Adequação a eventuais exigências supervenientes da Contratante ou dos órgãos fiscalizadores.</w:t>
      </w:r>
    </w:p>
    <w:p w:rsidR="00EA6309" w:rsidRDefault="00000000">
      <w:pPr>
        <w:pStyle w:val="Ttulo2"/>
        <w:rPr>
          <w:color w:val="000000"/>
        </w:rPr>
      </w:pPr>
      <w:r>
        <w:rPr>
          <w:color w:val="000000"/>
        </w:rPr>
        <w:t>7.6 Acessibilidade e Inclusão de Alunos com Deficiência</w:t>
      </w:r>
    </w:p>
    <w:p w:rsidR="00EA6309" w:rsidRDefault="00000000">
      <w:pPr>
        <w:spacing w:after="120" w:line="276" w:lineRule="auto"/>
        <w:jc w:val="both"/>
      </w:pPr>
      <w:r>
        <w:rPr>
          <w:color w:val="000000"/>
        </w:rPr>
        <w:t>Em conformidade com o art. 46 da Lei nº 13.146/2015 (Lei Brasileira de Inclusão — LBI), que assegura o direito da pessoa com deficiência ao transporte público adaptado, e com o princípio da inclusão social previsto no art. 11 da Lei nº 14.133/2021, o edital deverá estabelecer os seguintes requisitos específicos de acessibilidade, especialmente para os Lotes 3 (rota APAE, Rota 9) e 10 (rota Passagem/APAE, Rota 31), que atendem alunos com deficiência:</w:t>
      </w:r>
    </w:p>
    <w:p w:rsidR="00EA6309" w:rsidRDefault="00000000">
      <w:pPr>
        <w:numPr>
          <w:ilvl w:val="0"/>
          <w:numId w:val="1"/>
        </w:numPr>
        <w:pBdr>
          <w:top w:val="nil"/>
          <w:left w:val="nil"/>
          <w:bottom w:val="nil"/>
          <w:right w:val="nil"/>
          <w:between w:val="nil"/>
        </w:pBdr>
        <w:spacing w:after="80" w:line="276" w:lineRule="auto"/>
        <w:jc w:val="both"/>
      </w:pPr>
      <w:r>
        <w:rPr>
          <w:color w:val="000000"/>
        </w:rPr>
        <w:t>Veículos acessíveis: os veículos destinados ao transporte de alunos com deficiência física ou mobilidade reduzida (em especial os Lotes 3 e 10) deverão ser equipados com dispositivos de acessibilidade adequados ao tipo de deficiência dos usuários, incluindo rampa de acesso ou plataforma elevatória, dispositivos de retenção de cadeira de rodas (travas e cintos de fixação) e demais equipamentos exigidos pela NBR 14022 (ABNT) e pela Resolução CONTRAN nº 14/1998 e suas alterações;</w:t>
      </w:r>
    </w:p>
    <w:p w:rsidR="00EA6309" w:rsidRDefault="00000000">
      <w:pPr>
        <w:numPr>
          <w:ilvl w:val="0"/>
          <w:numId w:val="1"/>
        </w:numPr>
        <w:pBdr>
          <w:top w:val="nil"/>
          <w:left w:val="nil"/>
          <w:bottom w:val="nil"/>
          <w:right w:val="nil"/>
          <w:between w:val="nil"/>
        </w:pBdr>
        <w:spacing w:after="80" w:line="276" w:lineRule="auto"/>
        <w:jc w:val="both"/>
      </w:pPr>
      <w:r>
        <w:rPr>
          <w:color w:val="000000"/>
        </w:rPr>
        <w:t>Capacitação de condutores e monitores: os motoristas e monitores alocados nas rotas que atendam alunos com deficiência deverão comprovar treinamento específico em atendimento, auxílio e segurança de pessoas com deficiência, conforme as diretrizes do DETRAN/SP e em conformidade com o art. 46, §1º, da LBI;</w:t>
      </w:r>
    </w:p>
    <w:p w:rsidR="00EA6309" w:rsidRDefault="00000000">
      <w:pPr>
        <w:numPr>
          <w:ilvl w:val="0"/>
          <w:numId w:val="1"/>
        </w:numPr>
        <w:pBdr>
          <w:top w:val="nil"/>
          <w:left w:val="nil"/>
          <w:bottom w:val="nil"/>
          <w:right w:val="nil"/>
          <w:between w:val="nil"/>
        </w:pBdr>
        <w:spacing w:after="80" w:line="276" w:lineRule="auto"/>
        <w:jc w:val="both"/>
      </w:pPr>
      <w:r>
        <w:rPr>
          <w:color w:val="000000"/>
        </w:rPr>
        <w:t>Comunicação e protocolo de emergência: a Contratada deverá adotar protocolo de comunicação acessível com as famílias dos alunos com deficiência e com a Secretaria Municipal de Educação, comunicando imediatamente ao Fiscal do Contrato qualquer impossibilidade de atendimento, com antecedência mínima de 2 horas, para adoção de medidas alternativas;</w:t>
      </w:r>
    </w:p>
    <w:p w:rsidR="00EA6309" w:rsidRDefault="00000000">
      <w:pPr>
        <w:numPr>
          <w:ilvl w:val="0"/>
          <w:numId w:val="1"/>
        </w:numPr>
        <w:pBdr>
          <w:top w:val="nil"/>
          <w:left w:val="nil"/>
          <w:bottom w:val="nil"/>
          <w:right w:val="nil"/>
          <w:between w:val="nil"/>
        </w:pBdr>
        <w:spacing w:after="80" w:line="276" w:lineRule="auto"/>
        <w:jc w:val="both"/>
      </w:pPr>
      <w:r>
        <w:rPr>
          <w:color w:val="000000"/>
        </w:rPr>
        <w:t>Vedação de ônus adicional: a adequação dos veículos e a capacitação das equipes para o atendimento de alunos com deficiência constituem obrigações de resultado da contratação, não podendo ser cobradas como custo adicional ao Município, devendo o licitante contemplá-las integralmente em sua proposta;</w:t>
      </w:r>
    </w:p>
    <w:p w:rsidR="00EA6309" w:rsidRDefault="00000000">
      <w:pPr>
        <w:numPr>
          <w:ilvl w:val="0"/>
          <w:numId w:val="1"/>
        </w:numPr>
        <w:pBdr>
          <w:top w:val="nil"/>
          <w:left w:val="nil"/>
          <w:bottom w:val="nil"/>
          <w:right w:val="nil"/>
          <w:between w:val="nil"/>
        </w:pBdr>
        <w:spacing w:after="80" w:line="276" w:lineRule="auto"/>
        <w:jc w:val="both"/>
      </w:pPr>
      <w:r>
        <w:rPr>
          <w:color w:val="000000"/>
        </w:rPr>
        <w:t>Verificação prévia das necessidades: recomenda-se que, antes da publicação do edital, a Secretaria Municipal de Educação levante junto ao cadastro de alunos da rede pública o perfil específico das deficiências e necessidades de mobilidade dos alunos das rotas dos Lotes 3 e 10, para fins de especificação precisa dos requisitos de acessibilidade no Termo de Referência.</w:t>
      </w:r>
    </w:p>
    <w:p w:rsidR="00EA6309" w:rsidRDefault="00EA6309">
      <w:pPr>
        <w:spacing w:after="120" w:line="276" w:lineRule="auto"/>
        <w:jc w:val="both"/>
      </w:pPr>
    </w:p>
    <w:p w:rsidR="00EA6309" w:rsidRDefault="00000000">
      <w:pPr>
        <w:pStyle w:val="Ttulo1"/>
        <w:rPr>
          <w:color w:val="000000"/>
        </w:rPr>
      </w:pPr>
      <w:r>
        <w:rPr>
          <w:color w:val="000000"/>
        </w:rPr>
        <w:t>8. PREVISÃO ORÇAMENTÁRIA</w:t>
      </w:r>
    </w:p>
    <w:p w:rsidR="00EA6309" w:rsidRDefault="00000000">
      <w:pPr>
        <w:spacing w:after="120" w:line="276" w:lineRule="auto"/>
        <w:jc w:val="both"/>
      </w:pPr>
      <w:r>
        <w:rPr>
          <w:color w:val="000000"/>
        </w:rPr>
        <w:t>As despesas decorrentes desta contratação serão custeadas pelas seguintes fontes:</w:t>
      </w:r>
    </w:p>
    <w:p w:rsidR="00EA6309" w:rsidRDefault="00000000">
      <w:pPr>
        <w:numPr>
          <w:ilvl w:val="0"/>
          <w:numId w:val="1"/>
        </w:numPr>
        <w:pBdr>
          <w:top w:val="nil"/>
          <w:left w:val="nil"/>
          <w:bottom w:val="nil"/>
          <w:right w:val="nil"/>
          <w:between w:val="nil"/>
        </w:pBdr>
        <w:spacing w:after="80" w:line="276" w:lineRule="auto"/>
        <w:jc w:val="both"/>
      </w:pPr>
      <w:r>
        <w:rPr>
          <w:color w:val="000000"/>
        </w:rPr>
        <w:t>Transferências federais oriundas do Programa Nacional de Apoio ao Transporte do Escolar (PNATE/FNDE), no âmbito do Fundo Nacional de Desenvolvimento da Educação;</w:t>
      </w:r>
    </w:p>
    <w:p w:rsidR="00EA6309" w:rsidRDefault="00000000">
      <w:pPr>
        <w:numPr>
          <w:ilvl w:val="0"/>
          <w:numId w:val="1"/>
        </w:numPr>
        <w:pBdr>
          <w:top w:val="nil"/>
          <w:left w:val="nil"/>
          <w:bottom w:val="nil"/>
          <w:right w:val="nil"/>
          <w:between w:val="nil"/>
        </w:pBdr>
        <w:spacing w:after="80" w:line="276" w:lineRule="auto"/>
        <w:jc w:val="both"/>
      </w:pPr>
      <w:r>
        <w:rPr>
          <w:color w:val="000000"/>
        </w:rPr>
        <w:t>Recursos próprios do Município de Ribeirão Grande/SP, consignados nas dotações orçamentárias próprias do exercício de 2026, em conformidade com a Lei de Responsabilidade Fiscal (LC nº 101/2000).</w:t>
      </w:r>
    </w:p>
    <w:p w:rsidR="00EA6309" w:rsidRDefault="00000000">
      <w:pPr>
        <w:spacing w:after="120" w:line="276" w:lineRule="auto"/>
        <w:jc w:val="both"/>
      </w:pPr>
      <w:r>
        <w:rPr>
          <w:color w:val="000000"/>
        </w:rPr>
        <w:t>O valor global estimado da contratação é de R$ 2.332.200,00 para o período de 200 (duzentos) dias letivos. O processo será complementado com a indicação das dotações orçamentárias específicas no despacho de autorização da despesa, condição de eficácia para a publicação do edital, nos termos do art. 11, §2º, da Lei nº 14.133/2021.</w:t>
      </w:r>
    </w:p>
    <w:p w:rsidR="00EA6309" w:rsidRDefault="00000000">
      <w:pPr>
        <w:pStyle w:val="Ttulo1"/>
        <w:rPr>
          <w:color w:val="000000"/>
        </w:rPr>
      </w:pPr>
      <w:r>
        <w:rPr>
          <w:color w:val="000000"/>
        </w:rPr>
        <w:t>9. ANÁLISE DE RISCOS E MEDIDAS DE MITIGAÇÃO</w:t>
      </w:r>
    </w:p>
    <w:p w:rsidR="00EA6309" w:rsidRDefault="00000000">
      <w:pPr>
        <w:spacing w:after="120" w:line="276" w:lineRule="auto"/>
        <w:jc w:val="both"/>
      </w:pPr>
      <w:r>
        <w:rPr>
          <w:color w:val="000000"/>
        </w:rPr>
        <w:t>A análise de riscos integra o modelo de governança pública previsto nos arts. 11, inciso VI, e 169 da Lei nº 14.133/2021. A matriz a seguir identifica os principais riscos associados à contratação e as respectivas medidas de mitigação:</w:t>
      </w:r>
    </w:p>
    <w:p w:rsidR="00EA6309" w:rsidRDefault="00EA6309">
      <w:pPr>
        <w:spacing w:after="120" w:line="276" w:lineRule="auto"/>
        <w:jc w:val="both"/>
      </w:pPr>
    </w:p>
    <w:tbl>
      <w:tblPr>
        <w:tblStyle w:val="a3"/>
        <w:tblW w:w="907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0"/>
        <w:gridCol w:w="700"/>
        <w:gridCol w:w="6171"/>
      </w:tblGrid>
      <w:tr w:rsidR="00EA6309">
        <w:tc>
          <w:tcPr>
            <w:tcW w:w="22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Risco Identificado</w:t>
            </w:r>
          </w:p>
        </w:tc>
        <w:tc>
          <w:tcPr>
            <w:tcW w:w="700"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Criticidade</w:t>
            </w:r>
          </w:p>
        </w:tc>
        <w:tc>
          <w:tcPr>
            <w:tcW w:w="6171" w:type="dxa"/>
            <w:tcBorders>
              <w:top w:val="single" w:sz="4" w:space="0" w:color="FFFFFF"/>
              <w:left w:val="single" w:sz="4" w:space="0" w:color="FFFFFF"/>
              <w:bottom w:val="single" w:sz="4" w:space="0" w:color="FFFFFF"/>
              <w:right w:val="single" w:sz="4" w:space="0" w:color="FFFFFF"/>
            </w:tcBorders>
            <w:shd w:val="clear" w:color="auto" w:fill="1F3864"/>
            <w:tcMar>
              <w:top w:w="70" w:type="dxa"/>
              <w:left w:w="110" w:type="dxa"/>
              <w:bottom w:w="70" w:type="dxa"/>
              <w:right w:w="110" w:type="dxa"/>
            </w:tcMar>
            <w:vAlign w:val="center"/>
          </w:tcPr>
          <w:p w:rsidR="00EA6309" w:rsidRDefault="00000000">
            <w:pPr>
              <w:jc w:val="center"/>
            </w:pPr>
            <w:r>
              <w:rPr>
                <w:b/>
                <w:bCs/>
                <w:color w:val="FFFFFF"/>
                <w:sz w:val="19"/>
                <w:szCs w:val="19"/>
              </w:rPr>
              <w:t>Medida de Mitigação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Indisponibilidade de veículo(s) durante o contrato</w:t>
            </w:r>
          </w:p>
        </w:tc>
        <w:tc>
          <w:tcPr>
            <w:tcW w:w="7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Alto</w:t>
            </w:r>
          </w:p>
        </w:tc>
        <w:tc>
          <w:tcPr>
            <w:tcW w:w="61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Exigência de veículo reserva com as mesmas especificações; cláusula de substituição imediata (máx. 2 horas) sob pena de multa diária; exigência de frota própria ou contratualizada comprovada na habilitação.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Acidente com alunos ou danos a terceiros</w:t>
            </w:r>
          </w:p>
        </w:tc>
        <w:tc>
          <w:tcPr>
            <w:tcW w:w="7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Alto</w:t>
            </w:r>
          </w:p>
        </w:tc>
        <w:tc>
          <w:tcPr>
            <w:tcW w:w="61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Exigência de seguro de responsabilidade civil para danos pessoais e materiais a todos os passageiros; ART para veículos especiais; monitoramento sistemático pela fiscal do contrato.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Motorista sem habilitação adequada ou com infração grave</w:t>
            </w:r>
          </w:p>
        </w:tc>
        <w:tc>
          <w:tcPr>
            <w:tcW w:w="7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Alto</w:t>
            </w:r>
          </w:p>
        </w:tc>
        <w:tc>
          <w:tcPr>
            <w:tcW w:w="61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Exigência de habilitação categoria D + credencial DETRAN/SP; certidão negativa de infrações graves nos últimos 12 meses; certidão de antecedentes criminais; controle periódico pela fiscal do contrato.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Abandono ou rescisão unilateral do contrato pela contratada</w:t>
            </w:r>
          </w:p>
        </w:tc>
        <w:tc>
          <w:tcPr>
            <w:tcW w:w="7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Alto</w:t>
            </w:r>
          </w:p>
        </w:tc>
        <w:tc>
          <w:tcPr>
            <w:tcW w:w="61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sdt>
              <w:sdtPr>
                <w:tag w:val="goog_rdk_0"/>
                <w:id w:val="-1970818033"/>
              </w:sdtPr>
              <w:sdtContent>
                <w:r>
                  <w:rPr>
                    <w:rFonts w:ascii="Arial Unicode MS" w:eastAsia="Arial Unicode MS" w:hAnsi="Arial Unicode MS" w:cs="Arial Unicode MS"/>
                    <w:sz w:val="20"/>
                    <w:szCs w:val="20"/>
                  </w:rPr>
                  <w:t>Exigência de índices de liquidez (LC e LG ≥ 1,00) na habilitação; cláusula de rescisão com aplicação de sanções (art. 156 da Lei nº 14.133/2021) e execução de garantia contratual.</w:t>
                </w:r>
              </w:sdtContent>
            </w:sdt>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Veículo com mais de 10 anos de fabricação</w:t>
            </w:r>
          </w:p>
        </w:tc>
        <w:tc>
          <w:tcPr>
            <w:tcW w:w="7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Médio</w:t>
            </w:r>
          </w:p>
        </w:tc>
        <w:tc>
          <w:tcPr>
            <w:tcW w:w="61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Exigência de comprovação documental (CRLV) de data de fabricação; vistoria prévia ao início do contrato junto ao DETRAN e à Prefeitura Municipal; monitoramento contínuo.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Interrupção de rotas por condições climáticas ou manutenção de estradas</w:t>
            </w:r>
          </w:p>
        </w:tc>
        <w:tc>
          <w:tcPr>
            <w:tcW w:w="7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Médio</w:t>
            </w:r>
          </w:p>
        </w:tc>
        <w:tc>
          <w:tcPr>
            <w:tcW w:w="61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Previsão contratual de comunicação prévia; definição de protocolos de contingência com a Secretaria de Educação; veículo com tração 4x4 para lotes com estradas rurais.</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Superlotação de veículos ou transporte de não alunos</w:t>
            </w:r>
          </w:p>
        </w:tc>
        <w:tc>
          <w:tcPr>
            <w:tcW w:w="7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Médio</w:t>
            </w:r>
          </w:p>
        </w:tc>
        <w:tc>
          <w:tcPr>
            <w:tcW w:w="61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Proibição contratual expressa de transporte de caronistas; controle por carteirinhas ou autorizações do Setor de Transporte Escolar; fiscalização periódica e por denúncia.</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Descumprimento de rotas, horários ou paradas</w:t>
            </w:r>
          </w:p>
        </w:tc>
        <w:tc>
          <w:tcPr>
            <w:tcW w:w="7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Médio</w:t>
            </w:r>
          </w:p>
        </w:tc>
        <w:tc>
          <w:tcPr>
            <w:tcW w:w="61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Cláusula de penalidade por descumprimento; canal de ouvidoria (0800-7700118) identificado nos veículos; monitoramento pela fiscal de contrato (Lucélia Aparecida de Oliveira, matr. 340).</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Monitor sem qualificação ou sem atendimento às crianças</w:t>
            </w:r>
          </w:p>
        </w:tc>
        <w:tc>
          <w:tcPr>
            <w:tcW w:w="700"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pPr>
              <w:jc w:val="center"/>
            </w:pPr>
            <w:r>
              <w:rPr>
                <w:b/>
                <w:bCs/>
                <w:sz w:val="20"/>
                <w:szCs w:val="20"/>
              </w:rPr>
              <w:t>Médio</w:t>
            </w:r>
          </w:p>
        </w:tc>
        <w:tc>
          <w:tcPr>
            <w:tcW w:w="6171" w:type="dxa"/>
            <w:tcBorders>
              <w:top w:val="single" w:sz="4" w:space="0" w:color="BBBBBB"/>
              <w:left w:val="single" w:sz="4" w:space="0" w:color="BBBBBB"/>
              <w:bottom w:val="single" w:sz="4" w:space="0" w:color="BBBBBB"/>
              <w:right w:val="single" w:sz="4" w:space="0" w:color="BBBBBB"/>
            </w:tcBorders>
            <w:shd w:val="clear" w:color="auto" w:fill="FFFFFF"/>
            <w:tcMar>
              <w:top w:w="70" w:type="dxa"/>
              <w:left w:w="110" w:type="dxa"/>
              <w:bottom w:w="70" w:type="dxa"/>
              <w:right w:w="110" w:type="dxa"/>
            </w:tcMar>
            <w:vAlign w:val="center"/>
          </w:tcPr>
          <w:p w:rsidR="00EA6309" w:rsidRDefault="00000000">
            <w:r>
              <w:rPr>
                <w:sz w:val="20"/>
                <w:szCs w:val="20"/>
              </w:rPr>
              <w:t>Exigência de comprovação de vínculo empregatício, certidão de antecedentes criminais, uso de colete/uniforme e treinamento para acompanhamento de alunos no veículo.</w:t>
            </w:r>
          </w:p>
        </w:tc>
      </w:tr>
      <w:tr w:rsidR="00EA6309">
        <w:tc>
          <w:tcPr>
            <w:tcW w:w="22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Desinteresse de licitantes / ausência de concorrência</w:t>
            </w:r>
          </w:p>
        </w:tc>
        <w:tc>
          <w:tcPr>
            <w:tcW w:w="700"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pPr>
              <w:jc w:val="center"/>
            </w:pPr>
            <w:r>
              <w:rPr>
                <w:b/>
                <w:bCs/>
                <w:sz w:val="20"/>
                <w:szCs w:val="20"/>
              </w:rPr>
              <w:t>Baixo</w:t>
            </w:r>
          </w:p>
        </w:tc>
        <w:tc>
          <w:tcPr>
            <w:tcW w:w="6171" w:type="dxa"/>
            <w:tcBorders>
              <w:top w:val="single" w:sz="4" w:space="0" w:color="BBBBBB"/>
              <w:left w:val="single" w:sz="4" w:space="0" w:color="BBBBBB"/>
              <w:bottom w:val="single" w:sz="4" w:space="0" w:color="BBBBBB"/>
              <w:right w:val="single" w:sz="4" w:space="0" w:color="BBBBBB"/>
            </w:tcBorders>
            <w:shd w:val="clear" w:color="auto" w:fill="EBF3FA"/>
            <w:tcMar>
              <w:top w:w="70" w:type="dxa"/>
              <w:left w:w="110" w:type="dxa"/>
              <w:bottom w:w="70" w:type="dxa"/>
              <w:right w:w="110" w:type="dxa"/>
            </w:tcMar>
            <w:vAlign w:val="center"/>
          </w:tcPr>
          <w:p w:rsidR="00EA6309" w:rsidRDefault="00000000">
            <w:r>
              <w:rPr>
                <w:sz w:val="20"/>
                <w:szCs w:val="20"/>
              </w:rPr>
              <w:t>Parcelamento em 14 lotes para ampliar participação de micro e pequenas empresas (LC nº 123/2006); valor estimado compatível com o mercado regional; ampla divulgação no BEC/SP e no Diário Oficial do Estado.</w:t>
            </w:r>
          </w:p>
        </w:tc>
      </w:tr>
    </w:tbl>
    <w:p w:rsidR="00EA6309" w:rsidRDefault="00EA6309">
      <w:pPr>
        <w:spacing w:after="120" w:line="276" w:lineRule="auto"/>
        <w:jc w:val="both"/>
      </w:pPr>
    </w:p>
    <w:p w:rsidR="00EA6309" w:rsidRDefault="00000000">
      <w:pPr>
        <w:pStyle w:val="Ttulo1"/>
        <w:rPr>
          <w:color w:val="000000"/>
        </w:rPr>
      </w:pPr>
      <w:r>
        <w:rPr>
          <w:color w:val="000000"/>
        </w:rPr>
        <w:t>10. CRITÉRIOS DE SUSTENTABILIDADE</w:t>
      </w:r>
    </w:p>
    <w:p w:rsidR="00EA6309" w:rsidRDefault="00000000">
      <w:pPr>
        <w:spacing w:after="120" w:line="276" w:lineRule="auto"/>
        <w:jc w:val="both"/>
      </w:pPr>
      <w:r>
        <w:rPr>
          <w:color w:val="000000"/>
        </w:rPr>
        <w:t>Em conformidade com o princípio do desenvolvimento nacional sustentável (art. 11 da Lei nº 14.133/2021), a contratação observará os seguintes critérios:</w:t>
      </w:r>
    </w:p>
    <w:p w:rsidR="00EA6309" w:rsidRDefault="00000000">
      <w:pPr>
        <w:numPr>
          <w:ilvl w:val="0"/>
          <w:numId w:val="1"/>
        </w:numPr>
        <w:pBdr>
          <w:top w:val="nil"/>
          <w:left w:val="nil"/>
          <w:bottom w:val="nil"/>
          <w:right w:val="nil"/>
          <w:between w:val="nil"/>
        </w:pBdr>
        <w:spacing w:after="80" w:line="276" w:lineRule="auto"/>
        <w:jc w:val="both"/>
      </w:pPr>
      <w:r>
        <w:rPr>
          <w:color w:val="000000"/>
        </w:rPr>
        <w:t>Ambiental: exigência de manutenção dos veículos em conformidade com os padrões de emissões de gases poluentes estabelecidos pelo CONAMA e pelo DENATRAN; vedação ao transporte de passageiros em veículos com laudos de inspeção técnica vencidos;</w:t>
      </w:r>
    </w:p>
    <w:p w:rsidR="00EA6309" w:rsidRDefault="00000000">
      <w:pPr>
        <w:numPr>
          <w:ilvl w:val="0"/>
          <w:numId w:val="1"/>
        </w:numPr>
        <w:pBdr>
          <w:top w:val="nil"/>
          <w:left w:val="nil"/>
          <w:bottom w:val="nil"/>
          <w:right w:val="nil"/>
          <w:between w:val="nil"/>
        </w:pBdr>
        <w:spacing w:after="80" w:line="276" w:lineRule="auto"/>
        <w:jc w:val="both"/>
      </w:pPr>
      <w:r>
        <w:rPr>
          <w:color w:val="000000"/>
        </w:rPr>
        <w:t>Social e trabalhista: toda a equipe (motoristas, monitores e auxiliares) deverá ter vínculo empregatício formalizado ou contrato de prestação de serviços regular, com cumprimento integral das normas trabalhistas, previdenciárias e de segurança do trabalho; o acesso à educação dos alunos transportados representa impacto social direto e positivo do serviço;</w:t>
      </w:r>
    </w:p>
    <w:p w:rsidR="00EA6309" w:rsidRDefault="00000000">
      <w:pPr>
        <w:numPr>
          <w:ilvl w:val="0"/>
          <w:numId w:val="1"/>
        </w:numPr>
        <w:pBdr>
          <w:top w:val="nil"/>
          <w:left w:val="nil"/>
          <w:bottom w:val="nil"/>
          <w:right w:val="nil"/>
          <w:between w:val="nil"/>
        </w:pBdr>
        <w:spacing w:after="80" w:line="276" w:lineRule="auto"/>
        <w:jc w:val="both"/>
      </w:pPr>
      <w:r>
        <w:rPr>
          <w:color w:val="000000"/>
        </w:rPr>
        <w:t>Econômico: a divisão em 14 lotes favorece o tratamento diferenciado a micro e pequenas empresas, nos termos dos arts. 44 e 45 da LC nº 123/2006, ampliando o mercado para o segmento e estimulando a economia local.</w:t>
      </w:r>
    </w:p>
    <w:p w:rsidR="00EA6309" w:rsidRDefault="00000000">
      <w:pPr>
        <w:pStyle w:val="Ttulo1"/>
        <w:rPr>
          <w:color w:val="000000"/>
        </w:rPr>
      </w:pPr>
      <w:r>
        <w:rPr>
          <w:color w:val="000000"/>
        </w:rPr>
        <w:t>11. GESTÃO E FISCALIZAÇÃO CONTRATUAL</w:t>
      </w:r>
    </w:p>
    <w:p w:rsidR="00EA6309" w:rsidRDefault="00000000">
      <w:pPr>
        <w:spacing w:after="120" w:line="276" w:lineRule="auto"/>
        <w:jc w:val="both"/>
      </w:pPr>
      <w:r>
        <w:rPr>
          <w:color w:val="000000"/>
        </w:rPr>
        <w:t>O Município de Ribeirão Grande dispõe de servidor municipal capacitado designado como fiscal dos contratos, nos termos do art. 117 da Lei nº 14.133/2021:</w:t>
      </w:r>
    </w:p>
    <w:p w:rsidR="00EA6309" w:rsidRDefault="00000000">
      <w:pPr>
        <w:numPr>
          <w:ilvl w:val="0"/>
          <w:numId w:val="1"/>
        </w:numPr>
        <w:pBdr>
          <w:top w:val="nil"/>
          <w:left w:val="nil"/>
          <w:bottom w:val="nil"/>
          <w:right w:val="nil"/>
          <w:between w:val="nil"/>
        </w:pBdr>
        <w:spacing w:after="80" w:line="276" w:lineRule="auto"/>
        <w:jc w:val="both"/>
      </w:pPr>
      <w:r>
        <w:rPr>
          <w:color w:val="000000"/>
        </w:rPr>
        <w:t>Fiscal dos Contratos: Lucélia Aparecida de Oliveira, Coordenadora de Trânsito e Transporte, matrícula nº 340;</w:t>
      </w:r>
    </w:p>
    <w:p w:rsidR="00EA6309" w:rsidRDefault="00000000">
      <w:pPr>
        <w:numPr>
          <w:ilvl w:val="0"/>
          <w:numId w:val="1"/>
        </w:numPr>
        <w:pBdr>
          <w:top w:val="nil"/>
          <w:left w:val="nil"/>
          <w:bottom w:val="nil"/>
          <w:right w:val="nil"/>
          <w:between w:val="nil"/>
        </w:pBdr>
        <w:spacing w:after="80" w:line="276" w:lineRule="auto"/>
        <w:jc w:val="both"/>
      </w:pPr>
      <w:r>
        <w:rPr>
          <w:color w:val="000000"/>
        </w:rPr>
        <w:t>Responsabilidades da fiscal: acompanhamento sistemático da execução contratual, monitoramento do cumprimento das obrigações das contratadas (rotas, horários, condições dos veículos, documentação), avaliação dos resultados e adoção das medidas administrativas cabíveis em caso de descumprimento contratual;</w:t>
      </w:r>
    </w:p>
    <w:p w:rsidR="00EA6309" w:rsidRDefault="00000000">
      <w:pPr>
        <w:numPr>
          <w:ilvl w:val="0"/>
          <w:numId w:val="1"/>
        </w:numPr>
        <w:pBdr>
          <w:top w:val="nil"/>
          <w:left w:val="nil"/>
          <w:bottom w:val="nil"/>
          <w:right w:val="nil"/>
          <w:between w:val="nil"/>
        </w:pBdr>
        <w:spacing w:after="80" w:line="276" w:lineRule="auto"/>
        <w:jc w:val="both"/>
      </w:pPr>
      <w:r>
        <w:rPr>
          <w:color w:val="000000"/>
        </w:rPr>
        <w:t>Recebimento do objeto: provisório e definitivo, conforme art. 140 da Lei nº 14.133/2021, com emissão de relatório mensal de execução para cada lote contratado;</w:t>
      </w:r>
    </w:p>
    <w:p w:rsidR="00EA6309" w:rsidRDefault="00000000">
      <w:pPr>
        <w:numPr>
          <w:ilvl w:val="0"/>
          <w:numId w:val="1"/>
        </w:numPr>
        <w:pBdr>
          <w:top w:val="nil"/>
          <w:left w:val="nil"/>
          <w:bottom w:val="nil"/>
          <w:right w:val="nil"/>
          <w:between w:val="nil"/>
        </w:pBdr>
        <w:spacing w:after="80" w:line="276" w:lineRule="auto"/>
        <w:jc w:val="both"/>
      </w:pPr>
      <w:r>
        <w:rPr>
          <w:color w:val="000000"/>
        </w:rPr>
        <w:t>Canal de ouvidoria: os usuários do serviço deverão ter acesso ao número 0800-7700118 identificado em todos os veículos, para registro de reclamações, que serão encaminhadas à fiscal do contrato para as providências cabíveis.</w:t>
      </w:r>
    </w:p>
    <w:p w:rsidR="00EA6309" w:rsidRDefault="00000000">
      <w:pPr>
        <w:pStyle w:val="Ttulo1"/>
        <w:rPr>
          <w:color w:val="000000"/>
        </w:rPr>
      </w:pPr>
      <w:r>
        <w:rPr>
          <w:color w:val="000000"/>
        </w:rPr>
        <w:t>12. CONCLUSÃO E DECLARAÇÃO DE VIABILIDADE</w:t>
      </w:r>
    </w:p>
    <w:p w:rsidR="00EA6309" w:rsidRDefault="00000000">
      <w:pPr>
        <w:spacing w:after="120" w:line="276" w:lineRule="auto"/>
        <w:jc w:val="both"/>
      </w:pPr>
      <w:r>
        <w:rPr>
          <w:color w:val="000000"/>
        </w:rPr>
        <w:t>À vista de todo o exposto ao longo deste Estudo Técnico Preliminar, elaborado com observância integral dos requisitos do art. 18 da Lei Federal nº 14.133/2021, conclui-se pela plena necessidade, viabilidade técnica e econômica da contratação de empresa(s) especializada(s) para a prestação de serviços de transporte escolar no Município de Ribeirão Grande/SP, objeto do Processo Administrativo nº 22.387/2026.</w:t>
      </w:r>
    </w:p>
    <w:p w:rsidR="00EA6309" w:rsidRDefault="00000000">
      <w:pPr>
        <w:spacing w:after="120" w:line="276" w:lineRule="auto"/>
        <w:jc w:val="both"/>
      </w:pPr>
      <w:r>
        <w:rPr>
          <w:color w:val="000000"/>
        </w:rPr>
        <w:t>A contratação é necessária porque: (i) o transporte escolar é um direito constitucional dos alunos da rede pública (CF/88, art. 208, VII) e obrigação legal do Município; (ii) a dispersão geográfica dos alunos e o estado das estradas rurais tornam inviável a cobertura de 43 rotas sem contratação especializada; e (iii) a Administração não dispõe de frota ou quadro de motoristas habilitados suficientes para executar os serviços com a qualidade e segurança exigidas.</w:t>
      </w:r>
    </w:p>
    <w:p w:rsidR="00EA6309" w:rsidRDefault="00000000">
      <w:pPr>
        <w:spacing w:after="120" w:line="276" w:lineRule="auto"/>
        <w:jc w:val="both"/>
      </w:pPr>
      <w:r>
        <w:rPr>
          <w:color w:val="000000"/>
        </w:rPr>
        <w:t>A contratação é viável economicamente porque: (i) o valor estimado de R$ 2.332.200,00 foi apurado por metodologia plurifonte, compatível com o mercado regional; (ii) os recursos têm previsão nas transferências do PNATE/FNDE e nas dotações orçamentárias próprias; e (iii) o parcelamento em 14 lotes amplia a competitividade e favorece a obtenção de propostas mais vantajosas.</w:t>
      </w:r>
    </w:p>
    <w:p w:rsidR="00EA6309" w:rsidRDefault="00000000">
      <w:pPr>
        <w:spacing w:after="120" w:line="276" w:lineRule="auto"/>
        <w:jc w:val="both"/>
      </w:pPr>
      <w:r>
        <w:rPr>
          <w:color w:val="000000"/>
        </w:rPr>
        <w:t>A contratação é juridicamente segura porque: (i) a modalidade (Pregão Eletrônico) e o critério de julgamento (menor preço por lote) são adequados ao objeto; (ii) o parcelamento em lotes é plenamente justificado e atende ao art. 40, §1º, da Lei nº 14.133/2021; (iii) a pesquisa de preços atende ao art. 23 da mesma lei; e (iv) os requisitos de habilitação são proporcionais e não restritivos à competitividade.</w:t>
      </w:r>
    </w:p>
    <w:p w:rsidR="00EA6309" w:rsidRDefault="00EA6309">
      <w:pPr>
        <w:spacing w:after="120" w:line="276" w:lineRule="auto"/>
        <w:jc w:val="both"/>
      </w:pPr>
    </w:p>
    <w:p w:rsidR="00EA6309" w:rsidRDefault="00000000">
      <w:pPr>
        <w:spacing w:after="120" w:line="276" w:lineRule="auto"/>
        <w:jc w:val="both"/>
      </w:pPr>
      <w:r>
        <w:rPr>
          <w:color w:val="000000"/>
        </w:rPr>
        <w:t>Diante do exposto, DECLARO a viabilidade da contratação e RECOMENDO o prosseguimento do processo com a elaboração do edital, instrução da minuta contratual e adoção das demais providências administrativas necessárias à realização do Pregão Eletrônico, em estrita observância à Lei nº 14.133/2021 e às orientações do Tribunal de Contas do Estado de São Paulo.</w:t>
      </w:r>
    </w:p>
    <w:p w:rsidR="00EA6309" w:rsidRDefault="00EA6309">
      <w:pPr>
        <w:spacing w:after="120" w:line="276" w:lineRule="auto"/>
        <w:jc w:val="both"/>
      </w:pPr>
    </w:p>
    <w:p w:rsidR="00EA6309" w:rsidRDefault="00EA6309">
      <w:pPr>
        <w:spacing w:after="120" w:line="276" w:lineRule="auto"/>
        <w:jc w:val="both"/>
      </w:pPr>
    </w:p>
    <w:p w:rsidR="00EA6309" w:rsidRDefault="00000000">
      <w:pPr>
        <w:spacing w:after="120" w:line="276" w:lineRule="auto"/>
        <w:jc w:val="right"/>
      </w:pPr>
      <w:r>
        <w:rPr>
          <w:color w:val="000000"/>
        </w:rPr>
        <w:t xml:space="preserve">Ribeirão Grande/SP, </w:t>
      </w:r>
      <w:r>
        <w:t>8</w:t>
      </w:r>
      <w:r>
        <w:rPr>
          <w:color w:val="000000"/>
        </w:rPr>
        <w:t xml:space="preserve"> de </w:t>
      </w:r>
      <w:r>
        <w:t>junho</w:t>
      </w:r>
      <w:r>
        <w:rPr>
          <w:color w:val="000000"/>
        </w:rPr>
        <w:t xml:space="preserve"> de 2026.</w:t>
      </w:r>
    </w:p>
    <w:p w:rsidR="00EA6309" w:rsidRDefault="00EA6309">
      <w:pPr>
        <w:spacing w:after="120" w:line="276" w:lineRule="auto"/>
        <w:jc w:val="both"/>
      </w:pPr>
    </w:p>
    <w:p w:rsidR="00EA6309" w:rsidRDefault="00EA6309">
      <w:pPr>
        <w:spacing w:after="120" w:line="276" w:lineRule="auto"/>
        <w:jc w:val="both"/>
      </w:pPr>
    </w:p>
    <w:p w:rsidR="00EA6309" w:rsidRDefault="00EA6309">
      <w:pPr>
        <w:spacing w:after="120" w:line="276" w:lineRule="auto"/>
        <w:jc w:val="both"/>
      </w:pPr>
    </w:p>
    <w:p w:rsidR="00EA6309" w:rsidRDefault="00EA6309">
      <w:pPr>
        <w:spacing w:after="120" w:line="276" w:lineRule="auto"/>
        <w:jc w:val="both"/>
      </w:pPr>
    </w:p>
    <w:p w:rsidR="00EA6309" w:rsidRDefault="00000000">
      <w:pPr>
        <w:jc w:val="center"/>
        <w:rPr>
          <w:b/>
          <w:bCs/>
        </w:rPr>
      </w:pPr>
      <w:r>
        <w:rPr>
          <w:b/>
          <w:bCs/>
        </w:rPr>
        <w:t>_____________________________________________</w:t>
      </w:r>
    </w:p>
    <w:p w:rsidR="00EA6309" w:rsidRDefault="00000000">
      <w:pPr>
        <w:spacing w:line="276" w:lineRule="auto"/>
        <w:jc w:val="center"/>
        <w:rPr>
          <w:b/>
          <w:bCs/>
        </w:rPr>
      </w:pPr>
      <w:r>
        <w:rPr>
          <w:b/>
          <w:bCs/>
        </w:rPr>
        <w:t>Coordenadoria de Compras e Licitações</w:t>
      </w:r>
    </w:p>
    <w:p w:rsidR="00EA6309" w:rsidRDefault="00000000">
      <w:pPr>
        <w:spacing w:line="276" w:lineRule="auto"/>
        <w:jc w:val="center"/>
        <w:rPr>
          <w:b/>
          <w:bCs/>
        </w:rPr>
      </w:pPr>
      <w:r>
        <w:rPr>
          <w:b/>
          <w:bCs/>
        </w:rPr>
        <w:t>Prefeitura Municipal de Ribeirão Grande/SP</w:t>
      </w: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rPr>
          <w:b/>
          <w:bCs/>
        </w:rPr>
      </w:pPr>
    </w:p>
    <w:p w:rsidR="00EA6309" w:rsidRDefault="00EA6309">
      <w:pPr>
        <w:spacing w:line="276" w:lineRule="auto"/>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jc w:val="center"/>
        <w:rPr>
          <w:b/>
          <w:bCs/>
        </w:rPr>
      </w:pPr>
    </w:p>
    <w:p w:rsidR="00EA6309" w:rsidRDefault="00EA6309">
      <w:pPr>
        <w:spacing w:line="276" w:lineRule="auto"/>
        <w:rPr>
          <w:b/>
          <w:bCs/>
        </w:rPr>
      </w:pPr>
    </w:p>
    <w:p w:rsidR="00EA6309" w:rsidRDefault="00000000">
      <w:pPr>
        <w:spacing w:line="276" w:lineRule="auto"/>
        <w:jc w:val="center"/>
        <w:rPr>
          <w:b/>
          <w:bCs/>
        </w:rPr>
      </w:pPr>
      <w:r>
        <w:rPr>
          <w:b/>
          <w:bCs/>
        </w:rPr>
        <w:t>Processo Administrativo nº 22.387/2026</w:t>
      </w:r>
    </w:p>
    <w:sectPr w:rsidR="00EA6309">
      <w:headerReference w:type="default" r:id="rId8"/>
      <w:footerReference w:type="default" r:id="rId9"/>
      <w:pgSz w:w="11906" w:h="16838"/>
      <w:pgMar w:top="1701" w:right="1134" w:bottom="1134"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77C84" w:rsidRDefault="00277C84">
      <w:r>
        <w:separator/>
      </w:r>
    </w:p>
  </w:endnote>
  <w:endnote w:type="continuationSeparator" w:id="0">
    <w:p w:rsidR="00277C84" w:rsidRDefault="00277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C9EE98FF-9133-4E90-91B7-15673342E63C}"/>
  </w:font>
  <w:font w:name="Arial Unicode MS">
    <w:altName w:val="Arial"/>
    <w:panose1 w:val="020B0604020202020204"/>
    <w:charset w:val="00"/>
    <w:family w:val="auto"/>
    <w:pitch w:val="default"/>
  </w:font>
  <w:font w:name="Carlito">
    <w:charset w:val="00"/>
    <w:family w:val="auto"/>
    <w:pitch w:val="default"/>
    <w:embedRegular r:id="rId2" w:fontKey="{6811EFDB-1863-4C23-9EB8-D4A06D75DB17}"/>
    <w:embedBold r:id="rId3" w:fontKey="{A4D48138-4507-486B-8341-3CA319454302}"/>
  </w:font>
  <w:font w:name="Calibri">
    <w:panose1 w:val="020F0502020204030204"/>
    <w:charset w:val="00"/>
    <w:family w:val="swiss"/>
    <w:pitch w:val="variable"/>
    <w:sig w:usb0="E4002EFF" w:usb1="C000247B" w:usb2="00000009" w:usb3="00000000" w:csb0="000001FF" w:csb1="00000000"/>
    <w:embedRegular r:id="rId4" w:fontKey="{A43760F1-40B0-45C5-931D-0166A5EFB5F6}"/>
  </w:font>
  <w:font w:name="Cambria">
    <w:panose1 w:val="02040503050406030204"/>
    <w:charset w:val="00"/>
    <w:family w:val="roman"/>
    <w:pitch w:val="variable"/>
    <w:sig w:usb0="E00006FF" w:usb1="420024FF" w:usb2="02000000" w:usb3="00000000" w:csb0="0000019F" w:csb1="00000000"/>
    <w:embedRegular r:id="rId5" w:fontKey="{2FF7F758-DE8B-47E2-9126-6D11C27240A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A6309" w:rsidRDefault="00000000">
    <w:pPr>
      <w:widowControl w:val="0"/>
      <w:spacing w:line="276" w:lineRule="auto"/>
      <w:rPr>
        <w:sz w:val="24"/>
        <w:szCs w:val="24"/>
      </w:rPr>
    </w:pPr>
    <w:r>
      <w:rPr>
        <w:noProof/>
      </w:rPr>
      <w:drawing>
        <wp:anchor distT="0" distB="0" distL="0" distR="0" simplePos="0" relativeHeight="251659264" behindDoc="0" locked="0" layoutInCell="1" hidden="0" allowOverlap="1">
          <wp:simplePos x="0" y="0"/>
          <wp:positionH relativeFrom="column">
            <wp:posOffset>219075</wp:posOffset>
          </wp:positionH>
          <wp:positionV relativeFrom="paragraph">
            <wp:posOffset>123825</wp:posOffset>
          </wp:positionV>
          <wp:extent cx="504190" cy="504190"/>
          <wp:effectExtent l="0" t="0" r="0" b="0"/>
          <wp:wrapSquare wrapText="bothSides" distT="0" distB="0" distL="0" distR="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04190" cy="504190"/>
                  </a:xfrm>
                  <a:prstGeom prst="rect">
                    <a:avLst/>
                  </a:prstGeom>
                  <a:ln/>
                </pic:spPr>
              </pic:pic>
            </a:graphicData>
          </a:graphic>
        </wp:anchor>
      </w:drawing>
    </w:r>
  </w:p>
  <w:p w:rsidR="00EA6309" w:rsidRDefault="00000000">
    <w:pPr>
      <w:widowControl w:val="0"/>
      <w:spacing w:line="276" w:lineRule="auto"/>
      <w:ind w:right="429"/>
      <w:jc w:val="right"/>
      <w:rPr>
        <w:rFonts w:ascii="Calibri" w:eastAsia="Calibri" w:hAnsi="Calibri" w:cs="Calibri"/>
        <w:sz w:val="20"/>
        <w:szCs w:val="20"/>
      </w:rPr>
    </w:pPr>
    <w:r>
      <w:rPr>
        <w:rFonts w:ascii="Calibri" w:eastAsia="Calibri" w:hAnsi="Calibri" w:cs="Calibri"/>
        <w:sz w:val="20"/>
        <w:szCs w:val="20"/>
      </w:rPr>
      <w:t>Prefeitura do Município de Interesse Turístico de Ribeirão Grande - Rua Professora Jacyra</w:t>
    </w:r>
  </w:p>
  <w:p w:rsidR="00EA6309" w:rsidRDefault="00000000">
    <w:pPr>
      <w:widowControl w:val="0"/>
      <w:spacing w:line="276" w:lineRule="auto"/>
      <w:ind w:right="429"/>
      <w:jc w:val="right"/>
    </w:pPr>
    <w:r>
      <w:rPr>
        <w:rFonts w:ascii="Calibri" w:eastAsia="Calibri" w:hAnsi="Calibri" w:cs="Calibri"/>
        <w:sz w:val="20"/>
        <w:szCs w:val="20"/>
      </w:rPr>
      <w:t>LandinStori, 15,  Centro, Ribeirão Grande, SP, CEP 18.315-000 - Tel. PABX: (15) 3544 8800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77C84" w:rsidRDefault="00277C84">
      <w:r>
        <w:separator/>
      </w:r>
    </w:p>
  </w:footnote>
  <w:footnote w:type="continuationSeparator" w:id="0">
    <w:p w:rsidR="00277C84" w:rsidRDefault="00277C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A6309" w:rsidRDefault="00000000">
    <w:pPr>
      <w:widowControl w:val="0"/>
      <w:tabs>
        <w:tab w:val="center" w:pos="4252"/>
        <w:tab w:val="right" w:pos="8504"/>
      </w:tabs>
      <w:jc w:val="right"/>
      <w:rPr>
        <w:rFonts w:ascii="Carlito" w:eastAsia="Carlito" w:hAnsi="Carlito" w:cs="Carlito"/>
        <w:b/>
        <w:bCs/>
        <w:sz w:val="26"/>
        <w:szCs w:val="26"/>
      </w:rPr>
    </w:pPr>
    <w:r>
      <w:rPr>
        <w:rFonts w:ascii="Carlito" w:eastAsia="Carlito" w:hAnsi="Carlito" w:cs="Carlito"/>
        <w:b/>
        <w:bCs/>
        <w:sz w:val="26"/>
        <w:szCs w:val="26"/>
      </w:rPr>
      <w:t>DEPARTAMENTO ADMINISTRATIVO / FINANCEIRO</w:t>
    </w:r>
    <w:r>
      <w:rPr>
        <w:noProof/>
      </w:rPr>
      <w:drawing>
        <wp:anchor distT="0" distB="0" distL="0" distR="0" simplePos="0" relativeHeight="251658240" behindDoc="0" locked="0" layoutInCell="1" hidden="0" allowOverlap="1">
          <wp:simplePos x="0" y="0"/>
          <wp:positionH relativeFrom="column">
            <wp:posOffset>19050</wp:posOffset>
          </wp:positionH>
          <wp:positionV relativeFrom="paragraph">
            <wp:posOffset>19050</wp:posOffset>
          </wp:positionV>
          <wp:extent cx="1979295" cy="66294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79295" cy="662940"/>
                  </a:xfrm>
                  <a:prstGeom prst="rect">
                    <a:avLst/>
                  </a:prstGeom>
                  <a:ln/>
                </pic:spPr>
              </pic:pic>
            </a:graphicData>
          </a:graphic>
        </wp:anchor>
      </w:drawing>
    </w:r>
  </w:p>
  <w:p w:rsidR="00EA6309" w:rsidRDefault="00000000">
    <w:pPr>
      <w:widowControl w:val="0"/>
      <w:tabs>
        <w:tab w:val="center" w:pos="4252"/>
        <w:tab w:val="right" w:pos="8504"/>
      </w:tabs>
      <w:jc w:val="right"/>
      <w:rPr>
        <w:rFonts w:ascii="Carlito" w:eastAsia="Carlito" w:hAnsi="Carlito" w:cs="Carlito"/>
        <w:b/>
        <w:bCs/>
        <w:sz w:val="26"/>
        <w:szCs w:val="26"/>
      </w:rPr>
    </w:pPr>
    <w:r>
      <w:rPr>
        <w:rFonts w:ascii="Carlito" w:eastAsia="Carlito" w:hAnsi="Carlito" w:cs="Carlito"/>
        <w:b/>
        <w:bCs/>
        <w:sz w:val="26"/>
        <w:szCs w:val="26"/>
      </w:rPr>
      <w:t>Coordenadoria De Compras / Licitações</w:t>
    </w:r>
  </w:p>
  <w:p w:rsidR="00EA6309" w:rsidRDefault="00000000">
    <w:pPr>
      <w:widowControl w:val="0"/>
      <w:jc w:val="right"/>
      <w:rPr>
        <w:rFonts w:ascii="Carlito" w:eastAsia="Carlito" w:hAnsi="Carlito" w:cs="Carlito"/>
        <w:sz w:val="24"/>
        <w:szCs w:val="24"/>
      </w:rPr>
    </w:pPr>
    <w:r>
      <w:rPr>
        <w:rFonts w:ascii="Carlito" w:eastAsia="Carlito" w:hAnsi="Carlito" w:cs="Carlito"/>
        <w:sz w:val="24"/>
        <w:szCs w:val="24"/>
      </w:rPr>
      <w:t>www.ribeiraogrande.sp.gov.br</w:t>
    </w:r>
  </w:p>
  <w:p w:rsidR="00EA6309" w:rsidRDefault="00000000">
    <w:pPr>
      <w:widowControl w:val="0"/>
      <w:jc w:val="right"/>
      <w:rPr>
        <w:rFonts w:ascii="Carlito" w:eastAsia="Carlito" w:hAnsi="Carlito" w:cs="Carlito"/>
      </w:rPr>
    </w:pPr>
    <w:r>
      <w:rPr>
        <w:rFonts w:ascii="Carlito" w:eastAsia="Carlito" w:hAnsi="Carlito" w:cs="Carlito"/>
      </w:rPr>
      <w:t>licitacao@ribeiraogrande.sp.gov.br</w:t>
    </w:r>
  </w:p>
  <w:p w:rsidR="00EA6309" w:rsidRDefault="00EA630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E05E7"/>
    <w:multiLevelType w:val="multilevel"/>
    <w:tmpl w:val="26D63FC0"/>
    <w:lvl w:ilvl="0">
      <w:start w:val="1"/>
      <w:numFmt w:val="bullet"/>
      <w:lvlText w:val="•"/>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077480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309"/>
    <w:rsid w:val="00277C84"/>
    <w:rsid w:val="00AE0215"/>
    <w:rsid w:val="00EA63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08F155-F759-49E2-961F-7A61718FD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pBdr>
        <w:top w:val="nil"/>
        <w:left w:val="nil"/>
        <w:bottom w:val="nil"/>
        <w:right w:val="nil"/>
        <w:between w:val="nil"/>
      </w:pBdr>
      <w:spacing w:before="280" w:after="140"/>
      <w:outlineLvl w:val="0"/>
    </w:pPr>
    <w:rPr>
      <w:b/>
      <w:bCs/>
      <w:color w:val="1F3864"/>
      <w:sz w:val="26"/>
      <w:szCs w:val="26"/>
    </w:rPr>
  </w:style>
  <w:style w:type="paragraph" w:styleId="Ttulo2">
    <w:name w:val="heading 2"/>
    <w:basedOn w:val="Normal"/>
    <w:next w:val="Normal"/>
    <w:uiPriority w:val="9"/>
    <w:unhideWhenUsed/>
    <w:qFormat/>
    <w:pPr>
      <w:pBdr>
        <w:top w:val="nil"/>
        <w:left w:val="nil"/>
        <w:bottom w:val="nil"/>
        <w:right w:val="nil"/>
        <w:between w:val="nil"/>
      </w:pBdr>
      <w:spacing w:before="200" w:after="100"/>
      <w:outlineLvl w:val="1"/>
    </w:pPr>
    <w:rPr>
      <w:b/>
      <w:bCs/>
      <w:color w:val="2E75B6"/>
      <w:sz w:val="23"/>
      <w:szCs w:val="23"/>
    </w:rPr>
  </w:style>
  <w:style w:type="paragraph" w:styleId="Ttulo3">
    <w:name w:val="heading 3"/>
    <w:basedOn w:val="Normal"/>
    <w:next w:val="Normal"/>
    <w:uiPriority w:val="9"/>
    <w:semiHidden/>
    <w:unhideWhenUsed/>
    <w:qFormat/>
    <w:pPr>
      <w:pBdr>
        <w:top w:val="nil"/>
        <w:left w:val="nil"/>
        <w:bottom w:val="nil"/>
        <w:right w:val="nil"/>
        <w:between w:val="nil"/>
      </w:pBdr>
      <w:outlineLvl w:val="2"/>
    </w:pPr>
    <w:rPr>
      <w:color w:val="1F4D78"/>
      <w:sz w:val="24"/>
      <w:szCs w:val="24"/>
    </w:rPr>
  </w:style>
  <w:style w:type="paragraph" w:styleId="Ttulo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Ttulo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Ttulo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pBdr>
        <w:top w:val="nil"/>
        <w:left w:val="nil"/>
        <w:bottom w:val="nil"/>
        <w:right w:val="nil"/>
        <w:between w:val="nil"/>
      </w:pBdr>
    </w:pPr>
    <w:rPr>
      <w:color w:val="000000"/>
      <w:sz w:val="56"/>
      <w:szCs w:val="56"/>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snt0SviNeA2laUadnYaasBxTGw==">CgMxLjAaJAoBMBIfCh0IB0IZCgVBcmlhbBIQQXJpYWwgVW5pY29kZSBNUzgAaiwKFHN1Z2dlc3QubnF2cGIwZzUxcXdhEhRMdWlzIEZlbGxpcGUgZGUgTWVsb2osChRzdWdnZXN0Lm0zcDVtaWpkYXlqMxIUTHVpcyBGZWxsaXBlIGRlIE1lbG9yITE0ZXNKUFJuNEpnaVlwanJNbThsZXNnMUtKQXR2S0podA==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5473</Words>
  <Characters>29560</Characters>
  <Application>Microsoft Office Word</Application>
  <DocSecurity>0</DocSecurity>
  <Lines>246</Lines>
  <Paragraphs>69</Paragraphs>
  <ScaleCrop>false</ScaleCrop>
  <Company/>
  <LinksUpToDate>false</LinksUpToDate>
  <CharactersWithSpaces>34964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PMRG-Compras</dc:creator>
  <cp:lastModifiedBy>PMRG-Compras</cp:lastModifiedBy>
  <cp:revision>2</cp:revision>
  <dcterms:created xsi:type="dcterms:W3CDTF">2026-06-11T12:08:00Z</dcterms:created>
  <dcterms:modified xsi:type="dcterms:W3CDTF">2026-06-11T12:08:00Z</dcterms:modified>
</cp:coreProperties>
</file>